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1" w:rsidRPr="00881C0C" w:rsidRDefault="007407F6" w:rsidP="006C0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Задание№1</w:t>
      </w:r>
      <w:r w:rsidR="006C0A61" w:rsidRPr="00881C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407F6" w:rsidRDefault="007407F6" w:rsidP="006C0A61">
      <w:pPr>
        <w:widowControl w:val="0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Изучите пункт «</w:t>
      </w:r>
      <w:r w:rsidRPr="007407F6">
        <w:rPr>
          <w:rFonts w:ascii="Times New Roman" w:hAnsi="Times New Roman"/>
          <w:i/>
          <w:sz w:val="24"/>
          <w:szCs w:val="24"/>
        </w:rPr>
        <w:t xml:space="preserve">1.1. Линейная модель парной регрессии и </w:t>
      </w:r>
      <w:r>
        <w:rPr>
          <w:rFonts w:ascii="Times New Roman" w:hAnsi="Times New Roman"/>
          <w:i/>
          <w:sz w:val="24"/>
          <w:szCs w:val="24"/>
        </w:rPr>
        <w:t xml:space="preserve">корреляции» книги </w:t>
      </w:r>
      <w:proofErr w:type="spellStart"/>
      <w:r w:rsidR="00911D85">
        <w:rPr>
          <w:rFonts w:ascii="Times New Roman" w:hAnsi="Times New Roman"/>
          <w:i/>
          <w:sz w:val="24"/>
          <w:szCs w:val="24"/>
        </w:rPr>
        <w:t>Эконометрика-Шалобанов.pdf</w:t>
      </w:r>
      <w:proofErr w:type="spellEnd"/>
      <w:r w:rsidR="00911D85">
        <w:rPr>
          <w:rFonts w:ascii="Times New Roman" w:hAnsi="Times New Roman"/>
          <w:i/>
          <w:sz w:val="24"/>
          <w:szCs w:val="24"/>
        </w:rPr>
        <w:t>, включая пример построение модели.</w:t>
      </w:r>
    </w:p>
    <w:p w:rsidR="006C0A61" w:rsidRPr="00881C0C" w:rsidRDefault="00911D85" w:rsidP="006C0A61">
      <w:pPr>
        <w:widowControl w:val="0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выбранному варианту постройте</w:t>
      </w:r>
      <w:r w:rsidR="006C0A61" w:rsidRPr="00881C0C">
        <w:rPr>
          <w:rFonts w:ascii="Times New Roman" w:hAnsi="Times New Roman"/>
          <w:i/>
          <w:sz w:val="24"/>
          <w:szCs w:val="24"/>
        </w:rPr>
        <w:t xml:space="preserve"> поле корреляции результативного и факторного признаков.</w:t>
      </w:r>
    </w:p>
    <w:p w:rsidR="006C0A61" w:rsidRPr="00881C0C" w:rsidRDefault="006C0A61" w:rsidP="006C0A61">
      <w:pPr>
        <w:widowControl w:val="0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81C0C">
        <w:rPr>
          <w:rFonts w:ascii="Times New Roman" w:hAnsi="Times New Roman"/>
          <w:i/>
          <w:sz w:val="24"/>
          <w:szCs w:val="24"/>
        </w:rPr>
        <w:t>Определите параметры уравнения парной линейной регрессии и дайте интерпретацию коэффициента регрессии b.</w:t>
      </w:r>
    </w:p>
    <w:p w:rsidR="006C0A61" w:rsidRDefault="006C0A61" w:rsidP="006C0A61">
      <w:pPr>
        <w:widowControl w:val="0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81C0C">
        <w:rPr>
          <w:rFonts w:ascii="Times New Roman" w:hAnsi="Times New Roman"/>
          <w:i/>
          <w:sz w:val="24"/>
          <w:szCs w:val="24"/>
        </w:rPr>
        <w:t>Рассчитайте линейный коэффициент корреляции и поясните его смысл. Определите коэффициент детерминации и дайте его интерпретацию.</w:t>
      </w:r>
    </w:p>
    <w:p w:rsidR="006C0A61" w:rsidRPr="00881C0C" w:rsidRDefault="006C0A61" w:rsidP="006C0A61">
      <w:pPr>
        <w:widowControl w:val="0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Постройте линию тренда и найдите уравнение регрессии с помощью </w:t>
      </w:r>
      <w:r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6C0A61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точечная диаграмма -</w:t>
      </w:r>
      <w:r w:rsidRPr="006C0A61">
        <w:rPr>
          <w:rFonts w:ascii="Times New Roman" w:hAnsi="Times New Roman"/>
          <w:i/>
          <w:sz w:val="24"/>
          <w:szCs w:val="24"/>
        </w:rPr>
        <w:t xml:space="preserve">&gt; </w:t>
      </w:r>
      <w:r>
        <w:rPr>
          <w:rFonts w:ascii="Times New Roman" w:hAnsi="Times New Roman"/>
          <w:i/>
          <w:sz w:val="24"/>
          <w:szCs w:val="24"/>
        </w:rPr>
        <w:t>добавить линию тренда)</w:t>
      </w:r>
      <w:bookmarkStart w:id="0" w:name="_GoBack"/>
      <w:bookmarkEnd w:id="0"/>
    </w:p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предоставленных кредитов в зависимости от процентной ставки.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/>
      </w:tblPr>
      <w:tblGrid>
        <w:gridCol w:w="2009"/>
        <w:gridCol w:w="770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Процентная ставка (%)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Объем предоставленных кредитов (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 xml:space="preserve">Вариант №2 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вводит систему качества ИСО9002 и оценивает прибыль от ее внедрения на других предприятия такого же профиля. При этом были получены следующие данные. </w:t>
      </w:r>
    </w:p>
    <w:tbl>
      <w:tblPr>
        <w:tblStyle w:val="a3"/>
        <w:tblW w:w="0" w:type="auto"/>
        <w:tblLook w:val="04A0"/>
      </w:tblPr>
      <w:tblGrid>
        <w:gridCol w:w="1764"/>
        <w:gridCol w:w="797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(ценность) внедрения,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Прибыль от внедрения, 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№3</w:t>
      </w:r>
    </w:p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эффективность инвестиций по проекту как зависимость </w:t>
      </w:r>
      <w:r w:rsidRPr="00881C0C">
        <w:rPr>
          <w:rFonts w:ascii="Times New Roman" w:hAnsi="Times New Roman"/>
          <w:color w:val="000000"/>
          <w:sz w:val="24"/>
          <w:szCs w:val="24"/>
        </w:rPr>
        <w:t xml:space="preserve">срока окупаемости от стоимости. Были получены следующие данные </w:t>
      </w:r>
    </w:p>
    <w:tbl>
      <w:tblPr>
        <w:tblStyle w:val="a3"/>
        <w:tblW w:w="0" w:type="auto"/>
        <w:tblLook w:val="04A0"/>
      </w:tblPr>
      <w:tblGrid>
        <w:gridCol w:w="1586"/>
        <w:gridCol w:w="632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6C0A61" w:rsidRPr="00881C0C" w:rsidTr="00C1067C">
        <w:tc>
          <w:tcPr>
            <w:tcW w:w="144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проекта,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0A61" w:rsidRPr="00881C0C" w:rsidTr="00C1067C">
        <w:tc>
          <w:tcPr>
            <w:tcW w:w="144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конкурентоспособность товара и как этот показатель влияет на уровень продаж. Были полученные данные зависимости уровня продаж от интегрального показателя конкурентоспособности </w:t>
      </w:r>
    </w:p>
    <w:tbl>
      <w:tblPr>
        <w:tblStyle w:val="a3"/>
        <w:tblW w:w="0" w:type="auto"/>
        <w:tblLook w:val="04A0"/>
      </w:tblPr>
      <w:tblGrid>
        <w:gridCol w:w="2750"/>
        <w:gridCol w:w="623"/>
        <w:gridCol w:w="604"/>
        <w:gridCol w:w="617"/>
        <w:gridCol w:w="617"/>
        <w:gridCol w:w="617"/>
        <w:gridCol w:w="603"/>
        <w:gridCol w:w="617"/>
        <w:gridCol w:w="603"/>
        <w:gridCol w:w="613"/>
        <w:gridCol w:w="613"/>
      </w:tblGrid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Интегральный  показатель конкурентоспособности, % 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Уровень продаж,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</w:t>
      </w:r>
      <w:r>
        <w:rPr>
          <w:rFonts w:ascii="Times New Roman" w:hAnsi="Times New Roman"/>
          <w:sz w:val="24"/>
          <w:szCs w:val="24"/>
        </w:rPr>
        <w:t>вкладов</w:t>
      </w:r>
      <w:r w:rsidRPr="00881C0C">
        <w:rPr>
          <w:rFonts w:ascii="Times New Roman" w:hAnsi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/>
          <w:sz w:val="24"/>
          <w:szCs w:val="24"/>
        </w:rPr>
        <w:t>срока вклада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/>
      </w:tblPr>
      <w:tblGrid>
        <w:gridCol w:w="1723"/>
        <w:gridCol w:w="802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вклада в (мес.)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вкладов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вводит систему качества ИСО9002 и оценивает прибыль от ее внедрения на других предприятия такого же профиля. При этом были получены следующие данные. </w:t>
      </w:r>
    </w:p>
    <w:tbl>
      <w:tblPr>
        <w:tblStyle w:val="a3"/>
        <w:tblW w:w="0" w:type="auto"/>
        <w:tblLook w:val="04A0"/>
      </w:tblPr>
      <w:tblGrid>
        <w:gridCol w:w="1764"/>
        <w:gridCol w:w="797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(ценность) внедрения,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Прибыль от внедрения, 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</w:t>
      </w:r>
      <w:r>
        <w:rPr>
          <w:rFonts w:ascii="Times New Roman" w:hAnsi="Times New Roman"/>
          <w:b/>
          <w:i/>
          <w:sz w:val="24"/>
          <w:szCs w:val="24"/>
        </w:rPr>
        <w:t>ант №7</w:t>
      </w:r>
    </w:p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эффективность инвестиций по проекту как зависимость </w:t>
      </w:r>
      <w:r w:rsidRPr="00881C0C">
        <w:rPr>
          <w:rFonts w:ascii="Times New Roman" w:hAnsi="Times New Roman"/>
          <w:color w:val="000000"/>
          <w:sz w:val="24"/>
          <w:szCs w:val="24"/>
        </w:rPr>
        <w:t xml:space="preserve">срока окупаемости от стоимости. Были получены следующие данные </w:t>
      </w:r>
    </w:p>
    <w:tbl>
      <w:tblPr>
        <w:tblStyle w:val="a3"/>
        <w:tblW w:w="0" w:type="auto"/>
        <w:tblLook w:val="04A0"/>
      </w:tblPr>
      <w:tblGrid>
        <w:gridCol w:w="1586"/>
        <w:gridCol w:w="632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6C0A61" w:rsidRPr="00881C0C" w:rsidTr="00C1067C">
        <w:tc>
          <w:tcPr>
            <w:tcW w:w="144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проекта,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6C0A61" w:rsidRPr="00881C0C" w:rsidTr="00C1067C">
        <w:tc>
          <w:tcPr>
            <w:tcW w:w="144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конкурентоспособность товара и как этот показатель влияет на уровень продаж. Были полученные данные зависимости уровня продаж от интегрального показателя конкурентоспособности </w:t>
      </w:r>
    </w:p>
    <w:tbl>
      <w:tblPr>
        <w:tblStyle w:val="a3"/>
        <w:tblW w:w="0" w:type="auto"/>
        <w:tblLook w:val="04A0"/>
      </w:tblPr>
      <w:tblGrid>
        <w:gridCol w:w="2750"/>
        <w:gridCol w:w="623"/>
        <w:gridCol w:w="604"/>
        <w:gridCol w:w="617"/>
        <w:gridCol w:w="617"/>
        <w:gridCol w:w="617"/>
        <w:gridCol w:w="603"/>
        <w:gridCol w:w="617"/>
        <w:gridCol w:w="603"/>
        <w:gridCol w:w="613"/>
        <w:gridCol w:w="613"/>
      </w:tblGrid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Интегральный  показатель конкурентоспособности, % 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Уровень продаж,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</w:t>
      </w:r>
      <w:r>
        <w:rPr>
          <w:rFonts w:ascii="Times New Roman" w:hAnsi="Times New Roman"/>
          <w:sz w:val="24"/>
          <w:szCs w:val="24"/>
        </w:rPr>
        <w:t>вкладов</w:t>
      </w:r>
      <w:r w:rsidRPr="00881C0C">
        <w:rPr>
          <w:rFonts w:ascii="Times New Roman" w:hAnsi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/>
          <w:sz w:val="24"/>
          <w:szCs w:val="24"/>
        </w:rPr>
        <w:t>процентной ставки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/>
      </w:tblPr>
      <w:tblGrid>
        <w:gridCol w:w="1786"/>
        <w:gridCol w:w="787"/>
        <w:gridCol w:w="769"/>
        <w:gridCol w:w="793"/>
        <w:gridCol w:w="770"/>
        <w:gridCol w:w="770"/>
        <w:gridCol w:w="770"/>
        <w:gridCol w:w="770"/>
        <w:gridCol w:w="793"/>
        <w:gridCol w:w="770"/>
        <w:gridCol w:w="793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 (%)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вкладов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6C0A61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№10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Банк проводит анализ объема</w:t>
      </w:r>
      <w:r>
        <w:rPr>
          <w:rFonts w:ascii="Times New Roman" w:hAnsi="Times New Roman"/>
          <w:sz w:val="24"/>
          <w:szCs w:val="24"/>
        </w:rPr>
        <w:t xml:space="preserve"> выданных дебетовых карт в зависимости от стоимости обслуживания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/>
      </w:tblPr>
      <w:tblGrid>
        <w:gridCol w:w="1686"/>
        <w:gridCol w:w="733"/>
        <w:gridCol w:w="719"/>
        <w:gridCol w:w="720"/>
        <w:gridCol w:w="721"/>
        <w:gridCol w:w="721"/>
        <w:gridCol w:w="721"/>
        <w:gridCol w:w="721"/>
        <w:gridCol w:w="721"/>
        <w:gridCol w:w="721"/>
        <w:gridCol w:w="721"/>
      </w:tblGrid>
      <w:tr w:rsidR="006C0A61" w:rsidRPr="00881C0C" w:rsidTr="00C1067C">
        <w:tc>
          <w:tcPr>
            <w:tcW w:w="164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обслуживания банковских карт в год (руб.)</w:t>
            </w:r>
          </w:p>
        </w:tc>
        <w:tc>
          <w:tcPr>
            <w:tcW w:w="73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1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20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6C0A61" w:rsidRPr="00881C0C" w:rsidTr="00C1067C">
        <w:tc>
          <w:tcPr>
            <w:tcW w:w="164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выданных дебетовых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 (тыс.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71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20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1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C0A61" w:rsidRPr="006C0A61" w:rsidRDefault="006C0A61"/>
    <w:sectPr w:rsidR="006C0A61" w:rsidRPr="006C0A61" w:rsidSect="008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4B"/>
    <w:multiLevelType w:val="hybridMultilevel"/>
    <w:tmpl w:val="BA560656"/>
    <w:lvl w:ilvl="0" w:tplc="13D2B6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A61"/>
    <w:rsid w:val="006C0A61"/>
    <w:rsid w:val="007407F6"/>
    <w:rsid w:val="008542A3"/>
    <w:rsid w:val="00911D85"/>
    <w:rsid w:val="009D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Алексей Владимирович</dc:creator>
  <cp:lastModifiedBy>a.kataev</cp:lastModifiedBy>
  <cp:revision>2</cp:revision>
  <dcterms:created xsi:type="dcterms:W3CDTF">2019-02-14T06:23:00Z</dcterms:created>
  <dcterms:modified xsi:type="dcterms:W3CDTF">2019-02-14T06:23:00Z</dcterms:modified>
</cp:coreProperties>
</file>