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62B2" w:rsidRDefault="007562B2">
      <w:pPr>
        <w:ind w:firstLine="0"/>
        <w:jc w:val="center"/>
      </w:pPr>
      <w:r>
        <w:object w:dxaOrig="9746" w:dyaOrig="1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5pt;height:703.6pt" o:ole="">
            <v:imagedata r:id="rId8" o:title=""/>
          </v:shape>
          <o:OLEObject Type="Embed" ProgID="Visio.Drawing.11" ShapeID="_x0000_i1025" DrawAspect="Content" ObjectID="_1633867592" r:id="rId9"/>
        </w:object>
      </w:r>
    </w:p>
    <w:p w:rsidR="007562B2" w:rsidRDefault="007562B2">
      <w:pPr>
        <w:rPr>
          <w:rFonts w:ascii="Times New Roman CYR" w:hAnsi="Times New Roman CYR"/>
        </w:rPr>
        <w:sectPr w:rsidR="007562B2">
          <w:footerReference w:type="default" r:id="rId10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:rsidR="007562B2" w:rsidRDefault="007562B2">
      <w:pPr>
        <w:rPr>
          <w:rFonts w:ascii="Times New Roman CYR" w:hAnsi="Times New Roman CYR"/>
          <w:lang w:val="en-US"/>
        </w:rPr>
      </w:pPr>
    </w:p>
    <w:p w:rsidR="007562B2" w:rsidRDefault="007562B2">
      <w:pPr>
        <w:rPr>
          <w:rFonts w:ascii="Times New Roman CYR" w:hAnsi="Times New Roman CYR"/>
          <w:lang w:val="en-US"/>
        </w:rPr>
      </w:pPr>
      <w:r>
        <w:rPr>
          <w:rFonts w:ascii="Times New Roman CYR" w:hAnsi="Times New Roman CYR"/>
        </w:rPr>
        <w:t xml:space="preserve">ББК: </w:t>
      </w:r>
      <w:r>
        <w:rPr>
          <w:rFonts w:ascii="Times New Roman CYR" w:hAnsi="Times New Roman CYR"/>
          <w:lang w:val="en-US"/>
        </w:rPr>
        <w:t>65</w:t>
      </w:r>
      <w:r>
        <w:rPr>
          <w:rFonts w:ascii="Times New Roman CYR" w:hAnsi="Times New Roman CYR"/>
        </w:rPr>
        <w:t xml:space="preserve">.29я73 </w:t>
      </w:r>
    </w:p>
    <w:p w:rsidR="007562B2" w:rsidRDefault="007562B2">
      <w:pPr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 xml:space="preserve">Составитель: </w:t>
      </w:r>
      <w:r>
        <w:rPr>
          <w:rFonts w:ascii="Times New Roman CYR" w:hAnsi="Times New Roman CYR"/>
          <w:b/>
        </w:rPr>
        <w:t>Тычинский А. В.</w:t>
      </w:r>
    </w:p>
    <w:p w:rsidR="007562B2" w:rsidRDefault="007562B2">
      <w:pPr>
        <w:rPr>
          <w:rFonts w:ascii="Times New Roman CYR" w:hAnsi="Times New Roman CYR"/>
        </w:rPr>
      </w:pP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Методические указания по выполнению технико-экономического обо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 xml:space="preserve">нования разработок квалификационных работ. Маркетинговый подход. </w:t>
      </w:r>
      <w:r>
        <w:t>– Т</w:t>
      </w:r>
      <w:r>
        <w:t>а</w:t>
      </w:r>
      <w:r>
        <w:t xml:space="preserve">ганрог: Изд-во ТРТУ, 2005. </w:t>
      </w:r>
      <w:r>
        <w:rPr>
          <w:lang w:val="ru"/>
        </w:rPr>
        <w:t xml:space="preserve">– </w:t>
      </w:r>
      <w:r>
        <w:t>36 с.</w:t>
      </w:r>
    </w:p>
    <w:p w:rsidR="007562B2" w:rsidRDefault="007562B2"/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Ил.3. Табл. 19. Библиогр.: 8 назв.</w:t>
      </w:r>
    </w:p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>
      <w:r>
        <w:rPr>
          <w:rFonts w:ascii="Times New Roman CYR" w:hAnsi="Times New Roman CYR"/>
        </w:rPr>
        <w:t>Методические указания предназначены для подготовки и написания ра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дела технико-экономического обоснования квалификационной работы на пр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своение академической степени «Бакалавр» для студентов инженерных спец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альн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стей всех форм обучения.</w:t>
      </w:r>
    </w:p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/>
    <w:p w:rsidR="007562B2" w:rsidRDefault="007562B2">
      <w:pPr>
        <w:pStyle w:val="10"/>
      </w:pPr>
    </w:p>
    <w:p w:rsidR="007562B2" w:rsidRDefault="007562B2"/>
    <w:p w:rsidR="007562B2" w:rsidRDefault="007562B2">
      <w:pPr>
        <w:rPr>
          <w:szCs w:val="28"/>
        </w:rPr>
      </w:pPr>
      <w:r>
        <w:rPr>
          <w:rFonts w:ascii="Times New Roman CYR" w:hAnsi="Times New Roman CYR"/>
        </w:rPr>
        <w:t>Рецензент:</w:t>
      </w:r>
      <w:r>
        <w:rPr>
          <w:szCs w:val="28"/>
        </w:rPr>
        <w:t xml:space="preserve"> М.Н. Корсаков,</w:t>
      </w:r>
      <w:r>
        <w:rPr>
          <w:rFonts w:ascii="Times New Roman CYR" w:hAnsi="Times New Roman CYR"/>
          <w:b/>
        </w:rPr>
        <w:t xml:space="preserve"> </w:t>
      </w:r>
      <w:r>
        <w:rPr>
          <w:szCs w:val="28"/>
        </w:rPr>
        <w:t>канд. экон. наук, доцент кафедры экономики ТРТУ.</w:t>
      </w:r>
    </w:p>
    <w:p w:rsidR="007562B2" w:rsidRDefault="007562B2">
      <w:pPr>
        <w:rPr>
          <w:rFonts w:ascii="Times New Roman CYR" w:hAnsi="Times New Roman CYR"/>
          <w:b/>
        </w:rPr>
      </w:pPr>
    </w:p>
    <w:p w:rsidR="007562B2" w:rsidRDefault="007562B2">
      <w:pPr>
        <w:sectPr w:rsidR="007562B2"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:rsidR="007562B2" w:rsidRDefault="007562B2">
      <w:pPr>
        <w:pStyle w:val="1"/>
      </w:pPr>
      <w:bookmarkStart w:id="1" w:name="_Toc89169503"/>
      <w:bookmarkStart w:id="2" w:name="_Toc89170671"/>
      <w:bookmarkStart w:id="3" w:name="_Toc89170729"/>
      <w:bookmarkStart w:id="4" w:name="_Toc99193581"/>
      <w:r>
        <w:lastRenderedPageBreak/>
        <w:t>В</w:t>
      </w:r>
      <w:bookmarkEnd w:id="1"/>
      <w:bookmarkEnd w:id="2"/>
      <w:r>
        <w:t>ведение</w:t>
      </w:r>
      <w:bookmarkEnd w:id="3"/>
      <w:bookmarkEnd w:id="4"/>
    </w:p>
    <w:p w:rsidR="007562B2" w:rsidRDefault="007562B2">
      <w:pPr>
        <w:rPr>
          <w:rFonts w:ascii="Times New Roman CYR" w:hAnsi="Times New Roman CYR"/>
        </w:rPr>
      </w:pP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Технико-экономическое обоснование (ТЭО) является неотъемлемой ч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стью кв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лификационной работы студента и предусмотрено государственными образовательными стандартами РФ. Раздел ТЭО квалификационных работ св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детельствует об овладении студентом знаниями и навыками экономической оценки принимаемых им инженерных решений, а также способностью прим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нять методы экономического анализа в ходе реализации проек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ных решений.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Написание раздела ТЭО предусматривает изучение и успешную сдачу студентами инженерных специальностей в рамках учебных программ следу</w:t>
      </w:r>
      <w:r>
        <w:rPr>
          <w:rFonts w:ascii="Times New Roman CYR" w:hAnsi="Times New Roman CYR"/>
        </w:rPr>
        <w:t>ю</w:t>
      </w:r>
      <w:r>
        <w:rPr>
          <w:rFonts w:ascii="Times New Roman CYR" w:hAnsi="Times New Roman CYR"/>
        </w:rPr>
        <w:t>щих дисциплин: «Экономика: макро- и микроэкономика», «Экономика и управление прибор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строительным предприятием», «Экономика, управление и маркетинг на предпр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ятии», «Организация и планирование производства» и др.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Квалификационные работы студентов инженерных специальностей по структуре и форме должны удовлетворять требованиям ГОСТ 7.31-91 (ИСО 5966-82) «Отчет о научно-исследовательской работе. Структура и правила оформления», ЕСКД и ЕСТД. Объем раздела ТЭО должен составлять 10-15 л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стов машинописного текста либо 15 – 20 % объема текста всей работы. Соде</w:t>
      </w:r>
      <w:r>
        <w:rPr>
          <w:rFonts w:ascii="Times New Roman CYR" w:hAnsi="Times New Roman CYR"/>
        </w:rPr>
        <w:t>р</w:t>
      </w:r>
      <w:r>
        <w:rPr>
          <w:rFonts w:ascii="Times New Roman CYR" w:hAnsi="Times New Roman CYR"/>
        </w:rPr>
        <w:t>жание раздела ТЭО должно быть конкретным, изложенным четко, ясно и лак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нично и состоять из текста, рисунков, таблиц и пр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лагаемых материалов.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В настоящих методических указаниях предложен маркетинговый подход как метод экономического обоснования принимаемых инженерных решений в ходе выполнения студентами квалификационных работ для присвоения акад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мической степени «Бакалавр». Методические указания разработаны для ст</w:t>
      </w:r>
      <w:r>
        <w:rPr>
          <w:rFonts w:ascii="Times New Roman CYR" w:hAnsi="Times New Roman CYR"/>
        </w:rPr>
        <w:t>у</w:t>
      </w:r>
      <w:r>
        <w:rPr>
          <w:rFonts w:ascii="Times New Roman CYR" w:hAnsi="Times New Roman CYR"/>
        </w:rPr>
        <w:t>дентов инженерных сп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циальностей и адаптированы к разработке устройства либо системы приборостроительной отрасли, хотя как общий подход могут быть использованы для других специальностей и научно-исследовательских разрабо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ок.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Полезными в работе студента могут быть подходы и методы, изложенные в [1], [2], [3], [4], [5], [6] и [7].</w:t>
      </w:r>
    </w:p>
    <w:p w:rsidR="007562B2" w:rsidRDefault="007562B2">
      <w:pPr>
        <w:pStyle w:val="1"/>
      </w:pPr>
      <w:r>
        <w:rPr>
          <w:rFonts w:ascii="Times New Roman CYR" w:hAnsi="Times New Roman CYR"/>
        </w:rPr>
        <w:br w:type="page"/>
      </w:r>
      <w:bookmarkStart w:id="5" w:name="_Toc99193582"/>
      <w:r>
        <w:lastRenderedPageBreak/>
        <w:t>1. Маркетинговый подход как метод экономического обоснования инженерных разработок</w:t>
      </w:r>
      <w:bookmarkEnd w:id="5"/>
    </w:p>
    <w:p w:rsidR="007562B2" w:rsidRDefault="007562B2"/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Современные политические и экономические реформы в России требуют пересмотра сложившейся в 80-е годы ХХ столетия методологии экономическ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го анализа и экономических оценок, а переход к рыночной экономике – повс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местного изменения способов ведения предпринимательской деятельности.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Маркетинговый подход известен давно, особенно в странах США, Яп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нии и Западной Европы, и является естественным и наиболее эффективным способом ведения бизнеса, так как ориентирован на потребителя и максимал</w:t>
      </w:r>
      <w:r>
        <w:rPr>
          <w:rFonts w:ascii="Times New Roman CYR" w:hAnsi="Times New Roman CYR"/>
        </w:rPr>
        <w:t>ь</w:t>
      </w:r>
      <w:r>
        <w:rPr>
          <w:rFonts w:ascii="Times New Roman CYR" w:hAnsi="Times New Roman CYR"/>
        </w:rPr>
        <w:t>ное удовлетворение его потребностей. Особенность маркетингового подхода з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ключается в том, что он может быть полноценно реализован только в стране с устоявше</w:t>
      </w:r>
      <w:r>
        <w:rPr>
          <w:rFonts w:ascii="Times New Roman CYR" w:hAnsi="Times New Roman CYR"/>
        </w:rPr>
        <w:t>й</w:t>
      </w:r>
      <w:r>
        <w:rPr>
          <w:rFonts w:ascii="Times New Roman CYR" w:hAnsi="Times New Roman CYR"/>
        </w:rPr>
        <w:t>ся рыночной экономикой, гарантирующей конечным потребителям возможность и свободу выбора того или иного товара для потребления, а фи</w:t>
      </w:r>
      <w:r>
        <w:rPr>
          <w:rFonts w:ascii="Times New Roman CYR" w:hAnsi="Times New Roman CYR"/>
        </w:rPr>
        <w:t>р</w:t>
      </w:r>
      <w:r>
        <w:rPr>
          <w:rFonts w:ascii="Times New Roman CYR" w:hAnsi="Times New Roman CYR"/>
        </w:rPr>
        <w:t>мам и компаниям, производящим товары, – жесткую конкуренцию за выбор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требителя. Такая атмосфера вынуждает производителей товаров постоянно с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вершенствовать как производимую продукцию, так и способы ведения своего би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неса.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Маркетинговый подход к предпринимательской деятельности состоит в сл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дующем: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1) выявление существующих на рынке потребностей;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2) определения возможных путей и способов удовлетворения выявленных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требностей (предложение идей того или иного товара);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3) оценка востребованности и возможного спроса на предлагаемый товар, опр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деление вероятных объемов производства;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4) инвестиционная оценка проекта коммерческой реализации товара, ст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имос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ная оценка товара;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5) проектирование и разработка соответствующего товара (НИР и ОКР);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6) разработка системы сбыта товара (системы товародвижения);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7) установление цены на товар;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8) разработка системы стимулирования сбыта товара (системы продвиж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ния).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Указанные этапы деятельности компании должны четко согласовываться с ее миссией и стратегией, а их реализация – вписываться в систему инновац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онного стр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тегического менеджмента.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Маркетинговый подход как метод экономического обоснования инж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нерных решений требует формирования видения и оценок тех или иных инж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нерных решений в ходе проектирования и разработки товара с позиций их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лезности и востребованн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сти для конечного потребителя. При этом товар и его технические параметры рассматриваются как определенный набор потреб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тельских свойств, удовлетворя</w:t>
      </w:r>
      <w:r>
        <w:rPr>
          <w:rFonts w:ascii="Times New Roman CYR" w:hAnsi="Times New Roman CYR"/>
        </w:rPr>
        <w:t>ю</w:t>
      </w:r>
      <w:r>
        <w:rPr>
          <w:rFonts w:ascii="Times New Roman CYR" w:hAnsi="Times New Roman CYR"/>
        </w:rPr>
        <w:t>щих те или иные потребности потребителя.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Технические решения разработок всегда ограничиваются с одной стор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ны доступностью технологий, наличием ресурсов, объективными ограничени</w:t>
      </w:r>
      <w:r>
        <w:rPr>
          <w:rFonts w:ascii="Times New Roman CYR" w:hAnsi="Times New Roman CYR"/>
        </w:rPr>
        <w:t>я</w:t>
      </w:r>
      <w:r>
        <w:rPr>
          <w:rFonts w:ascii="Times New Roman CYR" w:hAnsi="Times New Roman CYR"/>
        </w:rPr>
        <w:t>ми физической природы, имеющимися знаниями, а с другой стороны – стоим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стью их реализации. Цена технической реализации в целом товара представл</w:t>
      </w:r>
      <w:r>
        <w:rPr>
          <w:rFonts w:ascii="Times New Roman CYR" w:hAnsi="Times New Roman CYR"/>
        </w:rPr>
        <w:t>я</w:t>
      </w:r>
      <w:r>
        <w:rPr>
          <w:rFonts w:ascii="Times New Roman CYR" w:hAnsi="Times New Roman CYR"/>
        </w:rPr>
        <w:lastRenderedPageBreak/>
        <w:t>ет, таким образом, цену удовлетворения потребности.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Однако с позиций потребителя важным становится определение не тол</w:t>
      </w:r>
      <w:r>
        <w:rPr>
          <w:rFonts w:ascii="Times New Roman CYR" w:hAnsi="Times New Roman CYR"/>
        </w:rPr>
        <w:t>ь</w:t>
      </w:r>
      <w:r>
        <w:rPr>
          <w:rFonts w:ascii="Times New Roman CYR" w:hAnsi="Times New Roman CYR"/>
        </w:rPr>
        <w:t>ко цены удовлетворения потребности единовременно, но и цены ее удовлетв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рения во времени (цена эксплуатации товара). Эти составляющие определяют цену потребления товара, которая является главным экономическим параме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ром разработки.</w:t>
      </w:r>
    </w:p>
    <w:p w:rsidR="007562B2" w:rsidRDefault="007562B2">
      <w:pPr>
        <w:pStyle w:val="1"/>
        <w:jc w:val="both"/>
      </w:pPr>
      <w:bookmarkStart w:id="6" w:name="_Toc89169506"/>
      <w:bookmarkStart w:id="7" w:name="_Toc89170674"/>
      <w:bookmarkStart w:id="8" w:name="_Toc89170732"/>
    </w:p>
    <w:p w:rsidR="007562B2" w:rsidRDefault="007562B2">
      <w:pPr>
        <w:pStyle w:val="1"/>
      </w:pPr>
      <w:bookmarkStart w:id="9" w:name="_Toc99193583"/>
      <w:r>
        <w:t>2.</w:t>
      </w:r>
      <w:bookmarkEnd w:id="6"/>
      <w:bookmarkEnd w:id="7"/>
      <w:bookmarkEnd w:id="8"/>
      <w:r>
        <w:t xml:space="preserve"> Принимаемые условности и допущения, цель, з</w:t>
      </w:r>
      <w:r>
        <w:t>а</w:t>
      </w:r>
      <w:r>
        <w:t>дачи и стру</w:t>
      </w:r>
      <w:r>
        <w:t>к</w:t>
      </w:r>
      <w:r>
        <w:t>тура раздела ТЭО</w:t>
      </w:r>
      <w:bookmarkEnd w:id="9"/>
    </w:p>
    <w:p w:rsidR="007562B2" w:rsidRDefault="007562B2">
      <w:pPr>
        <w:rPr>
          <w:rFonts w:ascii="Times New Roman CYR" w:hAnsi="Times New Roman CYR"/>
        </w:rPr>
      </w:pP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Квалификационная работа студента в подавляющем большинстве являе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ся лишь имитацией реальной научно-конструкторской работы и, в лучшем сл</w:t>
      </w:r>
      <w:r>
        <w:rPr>
          <w:rFonts w:ascii="Times New Roman CYR" w:hAnsi="Times New Roman CYR"/>
        </w:rPr>
        <w:t>у</w:t>
      </w:r>
      <w:r>
        <w:rPr>
          <w:rFonts w:ascii="Times New Roman CYR" w:hAnsi="Times New Roman CYR"/>
        </w:rPr>
        <w:t>чае, может претендовать лишь на эскизный проект опытно-конструкторских работ (ОКР). Это связано с тем, что квалификационная работа по своей сути направлена на демонстрацию студентом приобретенных знаний, навыков и умений, а не на развитие научно-технического пр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гресса. Кроме того, в ходе выполнения работы студент неизбежно сталкивается с так называемой объе</w:t>
      </w:r>
      <w:r>
        <w:rPr>
          <w:rFonts w:ascii="Times New Roman CYR" w:hAnsi="Times New Roman CYR"/>
        </w:rPr>
        <w:t>к</w:t>
      </w:r>
      <w:r>
        <w:rPr>
          <w:rFonts w:ascii="Times New Roman CYR" w:hAnsi="Times New Roman CYR"/>
        </w:rPr>
        <w:t>тивной информационной неопределенностью, обусловленной отсутствием н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обходимых и достоверных сведений, которую в большинстве случаев принц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пиально устранить нельзя. Так, например, технические условия (ТУ) на разр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ботку в большинстве случаев искусственные и нереальные, то есть не отраж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ющие сегодняшние требования заказчиков и потребителей; технические пар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метры разработки редко соответствуют предъявляемым ТУ, так как разр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ботка не доводится до стадии создания опытного образца и испытаний процедуры ОКР; разработка осуществляется, как правило, без привязки к конкретному предприятию, конкретной технологии, а экономические оценки в ходе проект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рования и разработки имеют прикидочный характер и др.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Это обуславливает при выполнении квалификационной работы принятие ряда условностей и допущений, которые позволят упростить реальные научно-исследовательские и опытно-конструкторские мероприятия до уровня квал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фикационной работы и реализовать поставленные перед студентом зад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чи.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К числу подобных условностей и допущений можно отнести: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все исходные технические условия на разработку, принимаемые студе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том, достоверные и соответствуют требованиям сегодняшнего дня;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студент обладает всей необходимой управленческой и маркетинговой инфо</w:t>
      </w:r>
      <w:r>
        <w:rPr>
          <w:rFonts w:ascii="Times New Roman CYR" w:hAnsi="Times New Roman CYR"/>
        </w:rPr>
        <w:t>р</w:t>
      </w:r>
      <w:r>
        <w:rPr>
          <w:rFonts w:ascii="Times New Roman CYR" w:hAnsi="Times New Roman CYR"/>
        </w:rPr>
        <w:t>мацией для работы над разделом ТЭО;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встречаемая информационная неопределе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ность разрешается студентом с применением метода экспертных оценок либо со ссылкой на источники и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формации;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студент при осуществлении оценок выступает в качестве единого эк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>перта, подменяя собой предусмотренную методологией группу эк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>пертов.</w:t>
      </w:r>
    </w:p>
    <w:p w:rsidR="007562B2" w:rsidRDefault="007562B2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</w:rPr>
        <w:t>Содержание раздела ТЭО в общем виде должно представлять собой обоснование принятых инженерных решений в виде развернутого ответа на следующие взаимосвязанные вопросы: почему необходимо именно сейчас внедрять предлагаемую разработку в производство (осуществить ее коммерч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lastRenderedPageBreak/>
        <w:t>скую реализацию) или, может быть, ее внедрение не даст ожидаемого эффекта (ко</w:t>
      </w:r>
      <w:r>
        <w:rPr>
          <w:rFonts w:ascii="Times New Roman CYR" w:hAnsi="Times New Roman CYR"/>
        </w:rPr>
        <w:t>м</w:t>
      </w:r>
      <w:r>
        <w:rPr>
          <w:rFonts w:ascii="Times New Roman CYR" w:hAnsi="Times New Roman CYR"/>
        </w:rPr>
        <w:t>мерческая реализация потерпит крах) и, поэтому лучше оставить все как есть? Последовательное и содержательное изложение ответов на эти вопросы совместно с приложением описательной, сопост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вительной и расчетной частей и есть требуемая от студента объем работы над разд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лом ТЭО.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>Цель раздела ТЭО:</w:t>
      </w:r>
      <w:r>
        <w:rPr>
          <w:rFonts w:ascii="Times New Roman CYR" w:hAnsi="Times New Roman CYR"/>
        </w:rPr>
        <w:t xml:space="preserve"> дать экономическую оценку целесообразности вне</w:t>
      </w:r>
      <w:r>
        <w:rPr>
          <w:rFonts w:ascii="Times New Roman CYR" w:hAnsi="Times New Roman CYR"/>
        </w:rPr>
        <w:t>д</w:t>
      </w:r>
      <w:r>
        <w:rPr>
          <w:rFonts w:ascii="Times New Roman CYR" w:hAnsi="Times New Roman CYR"/>
        </w:rPr>
        <w:t>рения (коммерческой реализации) разработки с учетом сегодняшнего состо</w:t>
      </w:r>
      <w:r>
        <w:rPr>
          <w:rFonts w:ascii="Times New Roman CYR" w:hAnsi="Times New Roman CYR"/>
        </w:rPr>
        <w:t>я</w:t>
      </w:r>
      <w:r>
        <w:rPr>
          <w:rFonts w:ascii="Times New Roman CYR" w:hAnsi="Times New Roman CYR"/>
        </w:rPr>
        <w:t>ния рынка, ра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вития науки и техники, экономической и социальной обстановки в обществе.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>Задачи раздела ТЭО: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1. Обосновать необходимость и актуальность разработки.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2. Выявить потребительскую функцию разработки и удовлетворяемую потре</w:t>
      </w:r>
      <w:r>
        <w:rPr>
          <w:rFonts w:ascii="Times New Roman CYR" w:hAnsi="Times New Roman CYR"/>
        </w:rPr>
        <w:t>б</w:t>
      </w:r>
      <w:r>
        <w:rPr>
          <w:rFonts w:ascii="Times New Roman CYR" w:hAnsi="Times New Roman CYR"/>
        </w:rPr>
        <w:t>ность. Оценить возможный спрос и необходимые объемы производства.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3. Выбрать базу для сравнения (товар-конкурент, аналог) и обосновать этот в</w:t>
      </w:r>
      <w:r>
        <w:rPr>
          <w:rFonts w:ascii="Times New Roman CYR" w:hAnsi="Times New Roman CYR"/>
        </w:rPr>
        <w:t>ы</w:t>
      </w:r>
      <w:r>
        <w:rPr>
          <w:rFonts w:ascii="Times New Roman CYR" w:hAnsi="Times New Roman CYR"/>
        </w:rPr>
        <w:t>бор.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4. Произвести стоимостную оценку разработки и ее аналога.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5. Сопоставить технические и экономические параметры разработки и ее анал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га. Рассчитать интегральные технико-экономические показатели аналога и разработки, а также сравнительную технико-экономическую эффективность разработки.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6. Определить мероприятия по товародвижению и продвижению разр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ботки с целью повышения вероятности успешности коммерческой реализации проекта.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>Структура раздела ТЭО</w:t>
      </w:r>
      <w:r>
        <w:rPr>
          <w:rFonts w:ascii="Times New Roman CYR" w:hAnsi="Times New Roman CYR"/>
        </w:rPr>
        <w:t xml:space="preserve"> может быть представлена в виде следующего т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пового плана: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1. Обоснование необходимости и актуальности разработки.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2. Обоснование выбора аналога для сравнения.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3. Обоснование выбора критериев для сравнения.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4. Стоимостная оценка аналога и разработки.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5. Расчет интегрального технико-экономического показателя аналога и разработки, расчет сравнительной технико-экономической эффективности ра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работки.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6. Мероприятия по товародвижению и продвижению разработки.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7. Заключение.</w:t>
      </w:r>
    </w:p>
    <w:p w:rsidR="007562B2" w:rsidRDefault="007562B2">
      <w:pPr>
        <w:pStyle w:val="1"/>
        <w:jc w:val="both"/>
      </w:pPr>
      <w:bookmarkStart w:id="10" w:name="_Toc89169507"/>
      <w:bookmarkStart w:id="11" w:name="_Toc89170675"/>
      <w:bookmarkStart w:id="12" w:name="_Toc89170733"/>
    </w:p>
    <w:p w:rsidR="007562B2" w:rsidRDefault="007562B2">
      <w:pPr>
        <w:pStyle w:val="1"/>
      </w:pPr>
      <w:bookmarkStart w:id="13" w:name="_Toc99193584"/>
      <w:r>
        <w:t>3. Пояснения к содержанию раздела ТЭО</w:t>
      </w:r>
      <w:bookmarkEnd w:id="10"/>
      <w:bookmarkEnd w:id="11"/>
      <w:bookmarkEnd w:id="12"/>
      <w:bookmarkEnd w:id="13"/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При написании раздела ТЭО следует помнить, что суть маркетингового подх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да заключается в многосторонней оценке полезности и востребованности внедрения разработки (коммерческой реализации) сегодня с точки зрения к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нечного потребит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ля. Поэтому студенту следует занять объективную позицию и попытаться критически оценить предлагаемую им разработку.</w:t>
      </w:r>
    </w:p>
    <w:p w:rsidR="007562B2" w:rsidRDefault="007562B2">
      <w:bookmarkStart w:id="14" w:name="_Toc89169508"/>
      <w:bookmarkStart w:id="15" w:name="_Toc89170676"/>
      <w:bookmarkStart w:id="16" w:name="_Toc89170734"/>
    </w:p>
    <w:p w:rsidR="007562B2" w:rsidRDefault="007562B2">
      <w:pPr>
        <w:pStyle w:val="2"/>
        <w:spacing w:after="0"/>
      </w:pPr>
      <w:bookmarkStart w:id="17" w:name="_Toc99193585"/>
      <w:r>
        <w:t>3.1. Обоснование необходимости и актуальности разработки</w:t>
      </w:r>
      <w:bookmarkEnd w:id="14"/>
      <w:bookmarkEnd w:id="15"/>
      <w:bookmarkEnd w:id="16"/>
      <w:bookmarkEnd w:id="17"/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В п. 1. следует привести краткое описание разработки, раскрыть ее назн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lastRenderedPageBreak/>
        <w:t>чение (выполняемая функция), определить вероятного потребителя, выявить удовлетворя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мую потребность и дать ее возможную количественную оценку. Акцент раздела нео</w:t>
      </w:r>
      <w:r>
        <w:rPr>
          <w:rFonts w:ascii="Times New Roman CYR" w:hAnsi="Times New Roman CYR"/>
        </w:rPr>
        <w:t>б</w:t>
      </w:r>
      <w:r>
        <w:rPr>
          <w:rFonts w:ascii="Times New Roman CYR" w:hAnsi="Times New Roman CYR"/>
        </w:rPr>
        <w:t>ходимо сместить в отношении обоснования необходимости и актуальности предл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гаемой разработки с точки зрения потребителя, которое по своей сути заключается в ответе на следующие вопр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сы.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>Необходимость:</w:t>
      </w:r>
      <w:r>
        <w:rPr>
          <w:rFonts w:ascii="Times New Roman CYR" w:hAnsi="Times New Roman CYR"/>
        </w:rPr>
        <w:t xml:space="preserve"> 1) зачем (для чего) это надо?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2) почему без этого нельзя обойтись сегодня?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>Актуальность:</w:t>
      </w:r>
      <w:r>
        <w:rPr>
          <w:rFonts w:ascii="Times New Roman CYR" w:hAnsi="Times New Roman CYR"/>
        </w:rPr>
        <w:t xml:space="preserve">    3) почему это необходимо внедрять именно сейчас?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Здесь же может быть дана оценка необходимых объемов производства и типа производства.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pStyle w:val="2"/>
        <w:spacing w:after="0"/>
      </w:pPr>
      <w:bookmarkStart w:id="18" w:name="_Toc89169509"/>
      <w:bookmarkStart w:id="19" w:name="_Toc89170677"/>
      <w:bookmarkStart w:id="20" w:name="_Toc89170735"/>
      <w:bookmarkStart w:id="21" w:name="_Toc99193586"/>
      <w:r>
        <w:t>3.2. Обоснование выбора аналога для сравнения</w:t>
      </w:r>
      <w:bookmarkEnd w:id="18"/>
      <w:bookmarkEnd w:id="19"/>
      <w:bookmarkEnd w:id="20"/>
      <w:bookmarkEnd w:id="21"/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Существенную сложность представляет собой выбор базы для сравнения (ан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лога). Достаточно часто студент склонен полагать, что его разработке не существует аналогов. Однако в подавляющем большинстве случаев аналог (т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вар-конкурент) - есть всегда!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>Аналог</w:t>
      </w:r>
      <w:r>
        <w:rPr>
          <w:rFonts w:ascii="Times New Roman CYR" w:hAnsi="Times New Roman CYR"/>
        </w:rPr>
        <w:t xml:space="preserve"> – устройство, программное обеспечение, система, алгоритм, м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тодика и т.п., то есть то, что имеет сходное с предлагаемой разработкой назн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чение, выполняющее одинаковую функцию (товар-конкурент) и может быть взято в качестве базы для сравнения с разработкой.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В связи с этим, задачей п. 2 должно стать именно обоснование выбора т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го или иного аналога (товара-конкурента) для сравнения с разработкой. Реал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зация данной задачи заключается в развернутом и обоснованном ответе на в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прос: почему для сра</w:t>
      </w:r>
      <w:r>
        <w:rPr>
          <w:rFonts w:ascii="Times New Roman CYR" w:hAnsi="Times New Roman CYR"/>
        </w:rPr>
        <w:t>в</w:t>
      </w:r>
      <w:r>
        <w:rPr>
          <w:rFonts w:ascii="Times New Roman CYR" w:hAnsi="Times New Roman CYR"/>
        </w:rPr>
        <w:t>нения с разработкой выбирается именно это устройство, программное обеспеч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ние, система, алгоритм, методика и т.п.? Наглядность и вес обоснованию могут придать схемы, таблицы и всевозможные авторитетные комментарии.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Ключевыми тезисами при ответе на данный вопрос могут стать: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1) сходная выполняемая функция (назначение) разработки и аналога;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2) сходные (близкие) технические параметры разработки и аналога;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3) сходные (близкие) технические условия на разработку и аналог.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pStyle w:val="2"/>
        <w:spacing w:after="0"/>
      </w:pPr>
      <w:bookmarkStart w:id="22" w:name="_Toc89169510"/>
      <w:bookmarkStart w:id="23" w:name="_Toc89170678"/>
      <w:bookmarkStart w:id="24" w:name="_Toc89170736"/>
      <w:bookmarkStart w:id="25" w:name="_Toc99193587"/>
      <w:r>
        <w:t>3.3. Обоснование выбора критериев для сравнения</w:t>
      </w:r>
      <w:bookmarkEnd w:id="22"/>
      <w:bookmarkEnd w:id="23"/>
      <w:bookmarkEnd w:id="24"/>
      <w:bookmarkEnd w:id="25"/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При сопоставлении аналога и разработки важным является выбор крит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риев для их сравнения, которые, с одной стороны, должны быть информати</w:t>
      </w:r>
      <w:r>
        <w:rPr>
          <w:rFonts w:ascii="Times New Roman CYR" w:hAnsi="Times New Roman CYR"/>
        </w:rPr>
        <w:t>в</w:t>
      </w:r>
      <w:r>
        <w:rPr>
          <w:rFonts w:ascii="Times New Roman CYR" w:hAnsi="Times New Roman CYR"/>
        </w:rPr>
        <w:t>ными, то есть характеризовать предметы сопоставления, с другой стороны, должны иметь количественную оценку, и, с третьей стороны, должны быть н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коррелируемые (независимые). Кроме того, выбор критериев должен осущест</w:t>
      </w:r>
      <w:r>
        <w:rPr>
          <w:rFonts w:ascii="Times New Roman CYR" w:hAnsi="Times New Roman CYR"/>
        </w:rPr>
        <w:t>в</w:t>
      </w:r>
      <w:r>
        <w:rPr>
          <w:rFonts w:ascii="Times New Roman CYR" w:hAnsi="Times New Roman CYR"/>
        </w:rPr>
        <w:t>ляться студентом самостоятельно с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зиции полезности и востребованности их для потребителя. Поэтому в п. 3 следует уделить внимание не только выбору критериев для сравнения, но и обоснов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 xml:space="preserve">нию этого выбора. 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Критерии для сравнения можно классифицировать: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количественные параметры;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- качественные параметры, имеющие количественную оценку;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новые возможности.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В табл. 3.1 приведен возможный перечень критериев для сравнения, к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торый не является исчерпывающим и может быть существенно изменен или допо</w:t>
      </w:r>
      <w:r>
        <w:rPr>
          <w:rFonts w:ascii="Times New Roman CYR" w:hAnsi="Times New Roman CYR"/>
        </w:rPr>
        <w:t>л</w:t>
      </w:r>
      <w:r>
        <w:rPr>
          <w:rFonts w:ascii="Times New Roman CYR" w:hAnsi="Times New Roman CYR"/>
        </w:rPr>
        <w:t>нен.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В каждом конкретном случае следует очень тщательно подходить к в</w:t>
      </w:r>
      <w:r>
        <w:rPr>
          <w:rFonts w:ascii="Times New Roman CYR" w:hAnsi="Times New Roman CYR"/>
        </w:rPr>
        <w:t>ы</w:t>
      </w:r>
      <w:r>
        <w:rPr>
          <w:rFonts w:ascii="Times New Roman CYR" w:hAnsi="Times New Roman CYR"/>
        </w:rPr>
        <w:t>бору кр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териев для сравнения и к обоснованию этого выбора, так как именно они лягут в основу экономической оценки целесообразности внедрения предл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гаемой разработки (коммерческой реализации), и именно они дадут итоговые значения ключевых параметров для принятия управленческого решения. Кол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чество критериев должно быть не более 5, но это должны быть наиболее ва</w:t>
      </w:r>
      <w:r>
        <w:rPr>
          <w:rFonts w:ascii="Times New Roman CYR" w:hAnsi="Times New Roman CYR"/>
        </w:rPr>
        <w:t>ж</w:t>
      </w:r>
      <w:r>
        <w:rPr>
          <w:rFonts w:ascii="Times New Roman CYR" w:hAnsi="Times New Roman CYR"/>
        </w:rPr>
        <w:t>ные и существенные с позиций потреб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теля. Применение большего количества критериев приводит к «смазыванию» отлич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тельных особенностей разработки и у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>реднению ключевых параметров.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При выборе критериев предпочтение следует отдавать количественным пар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метрам аналога и разработки, так как в подавляющем большинстве именно они хара</w:t>
      </w:r>
      <w:r>
        <w:rPr>
          <w:rFonts w:ascii="Times New Roman CYR" w:hAnsi="Times New Roman CYR"/>
        </w:rPr>
        <w:t>к</w:t>
      </w:r>
      <w:r>
        <w:rPr>
          <w:rFonts w:ascii="Times New Roman CYR" w:hAnsi="Times New Roman CYR"/>
        </w:rPr>
        <w:t>теризуют товар и определяют набор его потребительских свойств. В случае если невозможно выбрать необходимое количество значимых колич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ственных параметров, или кач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ственные параметры непосредственно являются важными потребительскими свойствами, в ходе оценок используют качестве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ные параметры, приведенные к количественной оценке. Количественные зн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чения качественных параметров устанавливаются экспертным путем, с прим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нением метода экспертных оценок. Новые возможности следует выделять д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полнительно в качестве бесспорных преимуществ разр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ботки.</w:t>
      </w: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Таблица 3.1</w:t>
      </w:r>
    </w:p>
    <w:p w:rsidR="007562B2" w:rsidRDefault="007562B2">
      <w:pPr>
        <w:tabs>
          <w:tab w:val="left" w:pos="-2340"/>
        </w:tabs>
        <w:ind w:firstLine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Cs/>
        </w:rPr>
        <w:t>Возможный перечень критериев для сравнения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123"/>
        <w:gridCol w:w="3683"/>
      </w:tblGrid>
      <w:tr w:rsidR="007562B2">
        <w:trPr>
          <w:cantSplit/>
          <w:jc w:val="center"/>
        </w:trPr>
        <w:tc>
          <w:tcPr>
            <w:tcW w:w="15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Количественные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пар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метры</w:t>
            </w:r>
          </w:p>
        </w:tc>
        <w:tc>
          <w:tcPr>
            <w:tcW w:w="1585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Качественные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параме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ры</w:t>
            </w:r>
          </w:p>
        </w:tc>
        <w:tc>
          <w:tcPr>
            <w:tcW w:w="187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Новые возможности</w:t>
            </w:r>
          </w:p>
        </w:tc>
      </w:tr>
      <w:tr w:rsidR="007562B2">
        <w:trPr>
          <w:cantSplit/>
          <w:jc w:val="center"/>
        </w:trPr>
        <w:tc>
          <w:tcPr>
            <w:tcW w:w="15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 Быстродейс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вие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 Точность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 Дальность дейс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вия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 Надежность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5. Габариты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 Количество кан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лов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7. Масса</w:t>
            </w:r>
          </w:p>
        </w:tc>
        <w:tc>
          <w:tcPr>
            <w:tcW w:w="1585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 Удобство пользов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ния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 Информати</w:t>
            </w:r>
            <w:r>
              <w:rPr>
                <w:rFonts w:ascii="Times New Roman CYR" w:hAnsi="Times New Roman CYR"/>
              </w:rPr>
              <w:t>в</w:t>
            </w:r>
            <w:r>
              <w:rPr>
                <w:rFonts w:ascii="Times New Roman CYR" w:hAnsi="Times New Roman CYR"/>
              </w:rPr>
              <w:t>ность</w:t>
            </w:r>
          </w:p>
          <w:p w:rsidR="007562B2" w:rsidRDefault="007562B2">
            <w:pPr>
              <w:pStyle w:val="a3"/>
              <w:jc w:val="left"/>
            </w:pPr>
            <w:r>
              <w:t>3. Оперативность пол</w:t>
            </w:r>
            <w:r>
              <w:t>у</w:t>
            </w:r>
            <w:r>
              <w:t>чения результата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 Наглядность</w:t>
            </w:r>
          </w:p>
        </w:tc>
        <w:tc>
          <w:tcPr>
            <w:tcW w:w="187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 Автоматизация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 Компьютеризация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 Интегральный подход в 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боте системы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 Использование совреме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ных электронных средств и средств коммун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кации</w:t>
            </w:r>
          </w:p>
        </w:tc>
      </w:tr>
    </w:tbl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>Количественные параметры</w:t>
      </w:r>
      <w:r>
        <w:rPr>
          <w:rFonts w:ascii="Times New Roman CYR" w:hAnsi="Times New Roman CYR"/>
        </w:rPr>
        <w:t xml:space="preserve"> – конкретные технические параметры анал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га и разработки с указанием размерности. Все выбранные параметры должны быть обоснованы с позиции полезности и востребованности их для потребит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ля. Если выбранные для сравнения количественные параметры не заданы те</w:t>
      </w:r>
      <w:r>
        <w:rPr>
          <w:rFonts w:ascii="Times New Roman CYR" w:hAnsi="Times New Roman CYR"/>
        </w:rPr>
        <w:t>х</w:t>
      </w:r>
      <w:r>
        <w:rPr>
          <w:rFonts w:ascii="Times New Roman CYR" w:hAnsi="Times New Roman CYR"/>
        </w:rPr>
        <w:t>ническим заданием, то необходимо указать ссылки на расчет соответствующего параметра в квалификацио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ной работе и используемую методику. В противном случае использование такого количественного параметра недопу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>тимо.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Результаты сопоставления заносятся в таблицу.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>Качественные параметры</w:t>
      </w:r>
      <w:r>
        <w:rPr>
          <w:rFonts w:ascii="Times New Roman CYR" w:hAnsi="Times New Roman CYR"/>
        </w:rPr>
        <w:t xml:space="preserve"> – качественные характеристики аналога и ра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lastRenderedPageBreak/>
        <w:t>работки, выраженные в баллах по шкале из 10 баллов, значения которых уст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навливаются экспертным путем с применением метода экспертных оценок. Значения установленных качественных параметров должны быть обоснованы с позиции полезности и востр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бованности их для потребителя.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Результаты сопоставления заносятся в таблицу.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>Новые возможности</w:t>
      </w:r>
      <w:r>
        <w:rPr>
          <w:rFonts w:ascii="Times New Roman CYR" w:hAnsi="Times New Roman CYR"/>
        </w:rPr>
        <w:t xml:space="preserve"> – принципиально новые полезные способности, свойства, результаты, которые появляются в процессе функционирования ра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работки. Они являются бесспорными преимуществами разработки и в сравн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нии непосредственно не участвуют, так как нет (и не может быть) методики для соответствующей количественной оценки приобретаемой каждым потребит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лем полезности от использования новых возможностей и учета ее в интеграл</w:t>
      </w:r>
      <w:r>
        <w:rPr>
          <w:rFonts w:ascii="Times New Roman CYR" w:hAnsi="Times New Roman CYR"/>
        </w:rPr>
        <w:t>ь</w:t>
      </w:r>
      <w:r>
        <w:rPr>
          <w:rFonts w:ascii="Times New Roman CYR" w:hAnsi="Times New Roman CYR"/>
        </w:rPr>
        <w:t>ном технико-экономическом показателе. Новые возможности должны быть сформулированы так, чтобы создавалось четкое и ясное представление о том, какие конкретные полезные способности, свойства, результаты приобретает конечный потребитель. Расплывчатые описания не допускаю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ся.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новых возможностей зан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сится в таблицу.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pStyle w:val="2"/>
        <w:spacing w:after="0"/>
      </w:pPr>
      <w:bookmarkStart w:id="26" w:name="_Toc89169511"/>
      <w:bookmarkStart w:id="27" w:name="_Toc89170679"/>
      <w:bookmarkStart w:id="28" w:name="_Toc89170737"/>
      <w:bookmarkStart w:id="29" w:name="_Toc99193588"/>
      <w:r>
        <w:t>3.4. Стоимостная оценка аналога и разработки</w:t>
      </w:r>
      <w:bookmarkEnd w:id="26"/>
      <w:bookmarkEnd w:id="27"/>
      <w:bookmarkEnd w:id="28"/>
      <w:bookmarkEnd w:id="29"/>
    </w:p>
    <w:p w:rsidR="007562B2" w:rsidRDefault="007562B2"/>
    <w:p w:rsidR="007562B2" w:rsidRDefault="007562B2">
      <w:pPr>
        <w:pStyle w:val="a4"/>
      </w:pPr>
      <w:r>
        <w:t>Экономическая оценка принимаемых инженерных решений в ходе разр</w:t>
      </w:r>
      <w:r>
        <w:t>а</w:t>
      </w:r>
      <w:r>
        <w:t>ботки в большинстве своем представляет собой определение цены потребления. В общем случае цена потребления (интегральный стоимостный показатель) з</w:t>
      </w:r>
      <w:r>
        <w:t>а</w:t>
      </w:r>
      <w:r>
        <w:t>висит от единовр</w:t>
      </w:r>
      <w:r>
        <w:t>е</w:t>
      </w:r>
      <w:r>
        <w:t>менных капитальных затрат, затрат на эксплуатацию, размера наносимого ущерба и с</w:t>
      </w:r>
      <w:r>
        <w:t>о</w:t>
      </w:r>
      <w:r>
        <w:t>путствующих положительных результатов применения разработки (в том числе и от использования новых возможностей), причем если подразумевается длительный срок эксплуатации, то должны быть сделаны д</w:t>
      </w:r>
      <w:r>
        <w:t>и</w:t>
      </w:r>
      <w:r>
        <w:t>намические оценки с применением дисконтиров</w:t>
      </w:r>
      <w:r>
        <w:t>а</w:t>
      </w:r>
      <w:r>
        <w:t>ния: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position w:val="-12"/>
        </w:rPr>
        <w:object w:dxaOrig="2560" w:dyaOrig="380">
          <v:shape id="_x0000_i1026" type="#_x0000_t75" style="width:128.1pt;height:18.85pt" o:ole="">
            <v:imagedata r:id="rId11" o:title=""/>
          </v:shape>
          <o:OLEObject Type="Embed" ProgID="Equation.3" ShapeID="_x0000_i1026" DrawAspect="Content" ObjectID="_1633867593" r:id="rId12"/>
        </w:object>
      </w:r>
      <w:r>
        <w:rPr>
          <w:rFonts w:ascii="Times New Roman CYR" w:hAnsi="Times New Roman CYR"/>
        </w:rPr>
        <w:t>,                                                     (1)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где     </w:t>
      </w:r>
      <w:r>
        <w:rPr>
          <w:rFonts w:ascii="Times New Roman CYR" w:hAnsi="Times New Roman CYR"/>
          <w:position w:val="-12"/>
        </w:rPr>
        <w:object w:dxaOrig="320" w:dyaOrig="380">
          <v:shape id="_x0000_i1027" type="#_x0000_t75" style="width:15.9pt;height:18.85pt" o:ole="">
            <v:imagedata r:id="rId13" o:title=""/>
          </v:shape>
          <o:OLEObject Type="Embed" ProgID="Equation.3" ShapeID="_x0000_i1027" DrawAspect="Content" ObjectID="_1633867594" r:id="rId14"/>
        </w:object>
      </w:r>
      <w:r>
        <w:rPr>
          <w:rFonts w:ascii="Times New Roman CYR" w:hAnsi="Times New Roman CYR"/>
        </w:rPr>
        <w:t xml:space="preserve"> - интегральный стоимостной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казатель (цена потребления),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position w:val="-4"/>
        </w:rPr>
        <w:object w:dxaOrig="300" w:dyaOrig="279">
          <v:shape id="_x0000_i1028" type="#_x0000_t75" style="width:14.9pt;height:13.9pt" o:ole="">
            <v:imagedata r:id="rId15" o:title=""/>
          </v:shape>
          <o:OLEObject Type="Embed" ProgID="Equation.3" ShapeID="_x0000_i1028" DrawAspect="Content" ObjectID="_1633867595" r:id="rId16"/>
        </w:object>
      </w:r>
      <w:r>
        <w:rPr>
          <w:rFonts w:ascii="Times New Roman CYR" w:hAnsi="Times New Roman CYR"/>
        </w:rPr>
        <w:t xml:space="preserve"> - единовременные капитальные затраты (на приобретение, транспо</w:t>
      </w:r>
      <w:r>
        <w:rPr>
          <w:rFonts w:ascii="Times New Roman CYR" w:hAnsi="Times New Roman CYR"/>
        </w:rPr>
        <w:t>р</w:t>
      </w:r>
      <w:r>
        <w:rPr>
          <w:rFonts w:ascii="Times New Roman CYR" w:hAnsi="Times New Roman CYR"/>
        </w:rPr>
        <w:t>тировку, монтаж, а также сопутствующие затраты),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i/>
          <w:position w:val="-12"/>
        </w:rPr>
        <w:object w:dxaOrig="340" w:dyaOrig="380">
          <v:shape id="_x0000_i1029" type="#_x0000_t75" style="width:16.9pt;height:18.85pt" o:ole="">
            <v:imagedata r:id="rId17" o:title=""/>
          </v:shape>
          <o:OLEObject Type="Embed" ProgID="Equation.3" ShapeID="_x0000_i1029" DrawAspect="Content" ObjectID="_1633867596" r:id="rId18"/>
        </w:object>
      </w:r>
      <w:r>
        <w:rPr>
          <w:rFonts w:ascii="Times New Roman CYR" w:hAnsi="Times New Roman CYR"/>
        </w:rPr>
        <w:t xml:space="preserve"> - затраты на эксплуатацию за все время работы изделия,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position w:val="-12"/>
        </w:rPr>
        <w:object w:dxaOrig="360" w:dyaOrig="380">
          <v:shape id="_x0000_i1030" type="#_x0000_t75" style="width:17.9pt;height:18.85pt" o:ole="">
            <v:imagedata r:id="rId19" o:title=""/>
          </v:shape>
          <o:OLEObject Type="Embed" ProgID="Equation.3" ShapeID="_x0000_i1030" DrawAspect="Content" ObjectID="_1633867597" r:id="rId20"/>
        </w:object>
      </w:r>
      <w:r>
        <w:rPr>
          <w:rFonts w:ascii="Times New Roman CYR" w:hAnsi="Times New Roman CYR"/>
        </w:rPr>
        <w:t xml:space="preserve"> - полная сумма ущерба от отказов,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i/>
          <w:position w:val="-12"/>
        </w:rPr>
        <w:object w:dxaOrig="380" w:dyaOrig="380">
          <v:shape id="_x0000_i1031" type="#_x0000_t75" style="width:18.85pt;height:18.85pt" o:ole="">
            <v:imagedata r:id="rId21" o:title=""/>
          </v:shape>
          <o:OLEObject Type="Embed" ProgID="Equation.3" ShapeID="_x0000_i1031" DrawAspect="Content" ObjectID="_1633867598" r:id="rId22"/>
        </w:object>
      </w:r>
      <w:r>
        <w:rPr>
          <w:rFonts w:ascii="Times New Roman CYR" w:hAnsi="Times New Roman CYR"/>
        </w:rPr>
        <w:t xml:space="preserve"> - сопутствующие положительные результаты применения нового и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делия, руб.</w:t>
      </w:r>
    </w:p>
    <w:p w:rsidR="007562B2" w:rsidRDefault="007562B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Дисконтирование - приведение экономических показателей разных лет к сопоставимому во времени виду с помощью коэффициента (нормы) дисконт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рования, 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нованного на формуле сложных процентов</w:t>
      </w:r>
    </w:p>
    <w:p w:rsidR="007562B2" w:rsidRDefault="007562B2">
      <w:pPr>
        <w:tabs>
          <w:tab w:val="left" w:pos="-2340"/>
        </w:tabs>
      </w:pPr>
    </w:p>
    <w:p w:rsidR="007562B2" w:rsidRDefault="007562B2">
      <w:pPr>
        <w:tabs>
          <w:tab w:val="left" w:pos="-2340"/>
        </w:tabs>
        <w:jc w:val="right"/>
      </w:pPr>
      <w:r>
        <w:rPr>
          <w:color w:val="FFFF00"/>
          <w:position w:val="-34"/>
          <w:szCs w:val="28"/>
        </w:rPr>
        <w:object w:dxaOrig="1840" w:dyaOrig="780">
          <v:shape id="_x0000_i1032" type="#_x0000_t75" style="width:91.85pt;height:39.25pt" o:ole="">
            <v:imagedata r:id="rId23" o:title=""/>
          </v:shape>
          <o:OLEObject Type="Embed" ProgID="Equation.3" ShapeID="_x0000_i1032" DrawAspect="Content" ObjectID="_1633867599" r:id="rId24"/>
        </w:object>
      </w:r>
      <w:r>
        <w:rPr>
          <w:szCs w:val="28"/>
        </w:rPr>
        <w:t xml:space="preserve"> </w:t>
      </w:r>
      <w:r>
        <w:rPr>
          <w:szCs w:val="28"/>
        </w:rPr>
        <w:tab/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(2)</w:t>
      </w:r>
    </w:p>
    <w:p w:rsidR="007562B2" w:rsidRDefault="007562B2">
      <w:pPr>
        <w:tabs>
          <w:tab w:val="left" w:pos="-2340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где   </w:t>
      </w:r>
      <w:r>
        <w:rPr>
          <w:rFonts w:ascii="Times New Roman CYR" w:hAnsi="Times New Roman CYR"/>
          <w:i/>
        </w:rPr>
        <w:t>ЧТС</w:t>
      </w:r>
      <w:r>
        <w:rPr>
          <w:rFonts w:ascii="Times New Roman CYR" w:hAnsi="Times New Roman CYR"/>
        </w:rPr>
        <w:t xml:space="preserve"> – чистая текущая стоимость,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i/>
        </w:rPr>
        <w:t>А</w:t>
      </w:r>
      <w:r>
        <w:rPr>
          <w:rFonts w:ascii="Times New Roman CYR" w:hAnsi="Times New Roman CYR"/>
        </w:rPr>
        <w:t xml:space="preserve"> – величина будущих поступлений либо величина экономических пок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 xml:space="preserve">зателей через </w:t>
      </w:r>
      <w:r>
        <w:rPr>
          <w:rFonts w:ascii="Times New Roman CYR" w:hAnsi="Times New Roman CYR"/>
          <w:lang w:val="en-US"/>
        </w:rPr>
        <w:t>m</w:t>
      </w:r>
      <w:r>
        <w:rPr>
          <w:rFonts w:ascii="Times New Roman CYR" w:hAnsi="Times New Roman CYR"/>
        </w:rPr>
        <w:t xml:space="preserve"> по порядку лет,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i/>
          <w:lang w:val="en-US"/>
        </w:rPr>
        <w:t>m</w:t>
      </w:r>
      <w:r>
        <w:rPr>
          <w:rFonts w:ascii="Times New Roman CYR" w:hAnsi="Times New Roman CYR"/>
        </w:rPr>
        <w:t xml:space="preserve"> – период дисконтирования, в целых числах;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i/>
        </w:rPr>
        <w:t>Е</w:t>
      </w:r>
      <w:r>
        <w:rPr>
          <w:rFonts w:ascii="Times New Roman CYR" w:hAnsi="Times New Roman CYR"/>
        </w:rPr>
        <w:t xml:space="preserve"> – </w:t>
      </w:r>
      <w:r>
        <w:t>норма дисконта</w:t>
      </w:r>
      <w:r>
        <w:rPr>
          <w:rFonts w:ascii="Times New Roman CYR" w:hAnsi="Times New Roman CYR"/>
        </w:rPr>
        <w:t>, в безразмерных единицах.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С учетом современных темпов развития научно-технического прогресса установление срока полезного использования свыше 5 лет становится бессмы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>ленным (</w:t>
      </w:r>
      <w:r>
        <w:rPr>
          <w:rFonts w:ascii="Times New Roman CYR" w:hAnsi="Times New Roman CYR"/>
          <w:i/>
          <w:lang w:val="en-US"/>
        </w:rPr>
        <w:t>m</w:t>
      </w:r>
      <w:r>
        <w:rPr>
          <w:rFonts w:ascii="Times New Roman CYR" w:hAnsi="Times New Roman CYR" w:cs="Times New Roman CYR"/>
        </w:rPr>
        <w:t>≤5)</w:t>
      </w:r>
      <w:r>
        <w:rPr>
          <w:rFonts w:ascii="Times New Roman CYR" w:hAnsi="Times New Roman CYR"/>
        </w:rPr>
        <w:t>. В качестве нормы дисконта (</w:t>
      </w:r>
      <w:r>
        <w:rPr>
          <w:rFonts w:ascii="Times New Roman CYR" w:hAnsi="Times New Roman CYR"/>
          <w:i/>
        </w:rPr>
        <w:t>Е</w:t>
      </w:r>
      <w:r>
        <w:rPr>
          <w:rFonts w:ascii="Times New Roman CYR" w:hAnsi="Times New Roman CYR"/>
        </w:rPr>
        <w:t>) чаще всего применяют уровень инфляции, к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торый в настоящее время составляет 10 – 25 % в год.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Однако следует признать, что вычисление интегрального стоимостного показателя (цены потребления) даже при наличии всей необходимой управле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ческой и ма</w:t>
      </w:r>
      <w:r>
        <w:rPr>
          <w:rFonts w:ascii="Times New Roman CYR" w:hAnsi="Times New Roman CYR"/>
        </w:rPr>
        <w:t>р</w:t>
      </w:r>
      <w:r>
        <w:rPr>
          <w:rFonts w:ascii="Times New Roman CYR" w:hAnsi="Times New Roman CYR"/>
        </w:rPr>
        <w:t>кетинговой информации, а именно: расчет полной себестоимости, продажной цены, затрат на транспортировку, монтаж и эксплуатацию и т.п., определение размера уще</w:t>
      </w:r>
      <w:r>
        <w:rPr>
          <w:rFonts w:ascii="Times New Roman CYR" w:hAnsi="Times New Roman CYR"/>
        </w:rPr>
        <w:t>р</w:t>
      </w:r>
      <w:r>
        <w:rPr>
          <w:rFonts w:ascii="Times New Roman CYR" w:hAnsi="Times New Roman CYR"/>
        </w:rPr>
        <w:t>бов и сопутствующих положительных результатов, может быть выполнен с достаточно большой погрешностью, позволяя опред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лить лишь порядок этих составляющих. Причинами этого, в частности, могут быть неоднозначность либо принципиальная н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определенность относительно: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конкретных поставщиков ресурсов;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конкретных те</w:t>
      </w:r>
      <w:r>
        <w:rPr>
          <w:rFonts w:ascii="Times New Roman CYR" w:hAnsi="Times New Roman CYR"/>
        </w:rPr>
        <w:t>х</w:t>
      </w:r>
      <w:r>
        <w:rPr>
          <w:rFonts w:ascii="Times New Roman CYR" w:hAnsi="Times New Roman CYR"/>
        </w:rPr>
        <w:t>нологий и применяемого оборудования;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организационно-правовой формы предприятия и применяемой системы нал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гообложения;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стратегии предприятия;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ценовой политики предприятия и др.;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цен на сырье, материалы и комплектующие изделия;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размера амо</w:t>
      </w:r>
      <w:r>
        <w:rPr>
          <w:rFonts w:ascii="Times New Roman CYR" w:hAnsi="Times New Roman CYR"/>
        </w:rPr>
        <w:t>р</w:t>
      </w:r>
      <w:r>
        <w:rPr>
          <w:rFonts w:ascii="Times New Roman CYR" w:hAnsi="Times New Roman CYR"/>
        </w:rPr>
        <w:t>тизационных отчислений;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применяемой системы оплаты труда работников;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норм и нормативов в области организации труда и заработной платы;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затрат на ремонт и о</w:t>
      </w:r>
      <w:r>
        <w:rPr>
          <w:rFonts w:ascii="Times New Roman CYR" w:hAnsi="Times New Roman CYR"/>
        </w:rPr>
        <w:t>б</w:t>
      </w:r>
      <w:r>
        <w:rPr>
          <w:rFonts w:ascii="Times New Roman CYR" w:hAnsi="Times New Roman CYR"/>
        </w:rPr>
        <w:t>служивание оборудования;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затрат, связанных с управлением предприятия;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затрат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требителя на эксплуатацию;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степени удовлетворения потребностей и др.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В связи с этим, в п. 4 раздела ТЭО квалификационной работы разумно в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сти речь лишь о стоимостной оценке принятых инженерных решений, кот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 xml:space="preserve">рую надлежит провести как в отношении разработки, так и в отношении аналога. При этом оценка размера ущербов </w:t>
      </w:r>
      <w:r>
        <w:rPr>
          <w:rFonts w:ascii="Times New Roman CYR" w:hAnsi="Times New Roman CYR"/>
          <w:position w:val="-12"/>
        </w:rPr>
        <w:object w:dxaOrig="360" w:dyaOrig="380">
          <v:shape id="_x0000_i1033" type="#_x0000_t75" style="width:17.9pt;height:18.85pt" o:ole="">
            <v:imagedata r:id="rId25" o:title=""/>
          </v:shape>
          <o:OLEObject Type="Embed" ProgID="Equation.3" ShapeID="_x0000_i1033" DrawAspect="Content" ObjectID="_1633867600" r:id="rId26"/>
        </w:object>
      </w:r>
      <w:r>
        <w:rPr>
          <w:rFonts w:ascii="Times New Roman CYR" w:hAnsi="Times New Roman CYR"/>
        </w:rPr>
        <w:t xml:space="preserve"> и сопутствующих положительных р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 xml:space="preserve">зультатов </w:t>
      </w:r>
      <w:r>
        <w:rPr>
          <w:rFonts w:ascii="Times New Roman CYR" w:hAnsi="Times New Roman CYR"/>
          <w:position w:val="-12"/>
        </w:rPr>
        <w:object w:dxaOrig="340" w:dyaOrig="380">
          <v:shape id="_x0000_i1034" type="#_x0000_t75" style="width:16.9pt;height:18.85pt" o:ole="">
            <v:imagedata r:id="rId27" o:title=""/>
          </v:shape>
          <o:OLEObject Type="Embed" ProgID="Equation.3" ShapeID="_x0000_i1034" DrawAspect="Content" ObjectID="_1633867601" r:id="rId28"/>
        </w:object>
      </w:r>
      <w:r>
        <w:rPr>
          <w:rFonts w:ascii="Times New Roman CYR" w:hAnsi="Times New Roman CYR"/>
        </w:rPr>
        <w:t xml:space="preserve"> не входит в предполагаемый объем работы студента в разделе ТЭО. Это связано с принципиальной неопределенностью и непредсказуем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стью б</w:t>
      </w:r>
      <w:r>
        <w:rPr>
          <w:rFonts w:ascii="Times New Roman CYR" w:hAnsi="Times New Roman CYR"/>
        </w:rPr>
        <w:t>у</w:t>
      </w:r>
      <w:r>
        <w:rPr>
          <w:rFonts w:ascii="Times New Roman CYR" w:hAnsi="Times New Roman CYR"/>
        </w:rPr>
        <w:t>дущих событий и возможностей, сложностью применяемых методик, большим объемом исходных эмпирических данных, неточностью и недост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верностью используемых эк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>пертных оценок.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Таким образом, стоимостная оценка аналога и разработки сводится к оценке требуемых единовременных капитальных затрат и затрат на эксплуат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цию. Поэтому выраж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ние (1) можно упростить: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position w:val="-12"/>
        </w:rPr>
        <w:object w:dxaOrig="1380" w:dyaOrig="380">
          <v:shape id="_x0000_i1035" type="#_x0000_t75" style="width:69pt;height:18.85pt" o:ole="">
            <v:imagedata r:id="rId29" o:title=""/>
          </v:shape>
          <o:OLEObject Type="Embed" ProgID="Equation.3" ShapeID="_x0000_i1035" DrawAspect="Content" ObjectID="_1633867602" r:id="rId30"/>
        </w:object>
      </w:r>
      <w:r>
        <w:rPr>
          <w:rFonts w:ascii="Times New Roman CYR" w:hAnsi="Times New Roman CYR"/>
        </w:rPr>
        <w:tab/>
        <w:t xml:space="preserve"> .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(3)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единовременные капитальные затраты конечного потребителя </w:t>
      </w:r>
      <w:r>
        <w:rPr>
          <w:rFonts w:ascii="Times New Roman CYR" w:hAnsi="Times New Roman CYR"/>
          <w:position w:val="-4"/>
        </w:rPr>
        <w:object w:dxaOrig="260" w:dyaOrig="260">
          <v:shape id="_x0000_i1036" type="#_x0000_t75" style="width:16.4pt;height:16.4pt" o:ole="">
            <v:imagedata r:id="rId31" o:title=""/>
          </v:shape>
          <o:OLEObject Type="Embed" ProgID="Equation.3" ShapeID="_x0000_i1036" DrawAspect="Content" ObjectID="_1633867603" r:id="rId32"/>
        </w:object>
      </w:r>
      <w:r>
        <w:rPr>
          <w:rFonts w:ascii="Times New Roman CYR" w:hAnsi="Times New Roman CYR"/>
        </w:rPr>
        <w:t xml:space="preserve"> вх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дят суммой следу</w:t>
      </w:r>
      <w:r>
        <w:rPr>
          <w:rFonts w:ascii="Times New Roman CYR" w:hAnsi="Times New Roman CYR"/>
        </w:rPr>
        <w:t>ю</w:t>
      </w:r>
      <w:r>
        <w:rPr>
          <w:rFonts w:ascii="Times New Roman CYR" w:hAnsi="Times New Roman CYR"/>
        </w:rPr>
        <w:t>щие составляющие: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position w:val="-16"/>
        </w:rPr>
        <w:object w:dxaOrig="4760" w:dyaOrig="420">
          <v:shape id="_x0000_i1037" type="#_x0000_t75" style="width:237.85pt;height:20.85pt" o:ole="">
            <v:imagedata r:id="rId33" o:title=""/>
          </v:shape>
          <o:OLEObject Type="Embed" ProgID="Equation.3" ShapeID="_x0000_i1037" DrawAspect="Content" ObjectID="_1633867604" r:id="rId34"/>
        </w:object>
      </w:r>
      <w:r>
        <w:rPr>
          <w:rFonts w:ascii="Times New Roman CYR" w:hAnsi="Times New Roman CYR"/>
        </w:rPr>
        <w:t xml:space="preserve"> ,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(4)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где     </w:t>
      </w:r>
      <w:r>
        <w:rPr>
          <w:rFonts w:ascii="Times New Roman CYR" w:hAnsi="Times New Roman CYR"/>
          <w:position w:val="-12"/>
        </w:rPr>
        <w:object w:dxaOrig="400" w:dyaOrig="380">
          <v:shape id="_x0000_i1038" type="#_x0000_t75" style="width:19.85pt;height:18.85pt" o:ole="">
            <v:imagedata r:id="rId35" o:title=""/>
          </v:shape>
          <o:OLEObject Type="Embed" ProgID="Equation.3" ShapeID="_x0000_i1038" DrawAspect="Content" ObjectID="_1633867605" r:id="rId36"/>
        </w:object>
      </w:r>
      <w:r>
        <w:rPr>
          <w:rFonts w:ascii="Times New Roman CYR" w:hAnsi="Times New Roman CYR"/>
        </w:rPr>
        <w:t xml:space="preserve"> - цена аналога или разработки,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position w:val="-16"/>
        </w:rPr>
        <w:object w:dxaOrig="540" w:dyaOrig="420">
          <v:shape id="_x0000_i1039" type="#_x0000_t75" style="width:26.8pt;height:20.85pt" o:ole="">
            <v:imagedata r:id="rId37" o:title=""/>
          </v:shape>
          <o:OLEObject Type="Embed" ProgID="Equation.3" ShapeID="_x0000_i1039" DrawAspect="Content" ObjectID="_1633867606" r:id="rId38"/>
        </w:object>
      </w:r>
      <w:r>
        <w:rPr>
          <w:rFonts w:ascii="Times New Roman CYR" w:hAnsi="Times New Roman CYR"/>
        </w:rPr>
        <w:t>- стоимость перевозки к месту эксплуатации,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position w:val="-12"/>
        </w:rPr>
        <w:object w:dxaOrig="680" w:dyaOrig="380">
          <v:shape id="_x0000_i1040" type="#_x0000_t75" style="width:33.75pt;height:18.85pt" o:ole="">
            <v:imagedata r:id="rId39" o:title=""/>
          </v:shape>
          <o:OLEObject Type="Embed" ProgID="Equation.3" ShapeID="_x0000_i1040" DrawAspect="Content" ObjectID="_1633867607" r:id="rId40"/>
        </w:object>
      </w:r>
      <w:r>
        <w:rPr>
          <w:rFonts w:ascii="Times New Roman CYR" w:hAnsi="Times New Roman CYR"/>
        </w:rPr>
        <w:t>- стоимость монтажа на месте эксплуатации,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position w:val="-12"/>
        </w:rPr>
        <w:object w:dxaOrig="440" w:dyaOrig="380">
          <v:shape id="_x0000_i1041" type="#_x0000_t75" style="width:21.85pt;height:18.85pt" o:ole="">
            <v:imagedata r:id="rId41" o:title=""/>
          </v:shape>
          <o:OLEObject Type="Embed" ProgID="Equation.3" ShapeID="_x0000_i1041" DrawAspect="Content" ObjectID="_1633867608" r:id="rId42"/>
        </w:object>
      </w:r>
      <w:r>
        <w:rPr>
          <w:rFonts w:ascii="Times New Roman CYR" w:hAnsi="Times New Roman CYR"/>
        </w:rPr>
        <w:t>- стоимость занимаемой площади,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position w:val="-12"/>
        </w:rPr>
        <w:object w:dxaOrig="460" w:dyaOrig="380">
          <v:shape id="_x0000_i1042" type="#_x0000_t75" style="width:22.85pt;height:18.85pt" o:ole="">
            <v:imagedata r:id="rId43" o:title=""/>
          </v:shape>
          <o:OLEObject Type="Embed" ProgID="Equation.3" ShapeID="_x0000_i1042" DrawAspect="Content" ObjectID="_1633867609" r:id="rId44"/>
        </w:object>
      </w:r>
      <w:r>
        <w:rPr>
          <w:rFonts w:ascii="Times New Roman CYR" w:hAnsi="Times New Roman CYR"/>
        </w:rPr>
        <w:t>- стоимость запаса сменяемых частей,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position w:val="-16"/>
        </w:rPr>
        <w:object w:dxaOrig="680" w:dyaOrig="420">
          <v:shape id="_x0000_i1043" type="#_x0000_t75" style="width:33.75pt;height:20.85pt" o:ole="">
            <v:imagedata r:id="rId45" o:title=""/>
          </v:shape>
          <o:OLEObject Type="Embed" ProgID="Equation.3" ShapeID="_x0000_i1043" DrawAspect="Content" ObjectID="_1633867610" r:id="rId46"/>
        </w:object>
      </w:r>
      <w:r>
        <w:rPr>
          <w:rFonts w:ascii="Times New Roman CYR" w:hAnsi="Times New Roman CYR"/>
        </w:rPr>
        <w:t xml:space="preserve"> - </w:t>
      </w:r>
      <w:r>
        <w:rPr>
          <w:position w:val="2"/>
        </w:rPr>
        <w:t>затраты на реорганизацию рабочих мест</w:t>
      </w:r>
      <w:r>
        <w:rPr>
          <w:rFonts w:ascii="Times New Roman CYR" w:hAnsi="Times New Roman CYR"/>
        </w:rPr>
        <w:t>, руб.</w:t>
      </w:r>
    </w:p>
    <w:p w:rsidR="007562B2" w:rsidRDefault="007562B2">
      <w:pPr>
        <w:tabs>
          <w:tab w:val="left" w:pos="-2340"/>
        </w:tabs>
      </w:pPr>
      <w:r>
        <w:t>Количественная оценка единовременных расходов на перевозку, монтаж и пр. определяется в процентах к покупной цене студентом самостоятельно и</w:t>
      </w:r>
      <w:r>
        <w:t>с</w:t>
      </w:r>
      <w:r>
        <w:t>ходя из те</w:t>
      </w:r>
      <w:r>
        <w:t>х</w:t>
      </w:r>
      <w:r>
        <w:t>нических особенностей аналога и разработки, и учитываются в тех случаях, когда они существенны (5 – 10 %).</w:t>
      </w:r>
    </w:p>
    <w:p w:rsidR="007562B2" w:rsidRDefault="007562B2">
      <w:pPr>
        <w:tabs>
          <w:tab w:val="left" w:pos="-2340"/>
        </w:tabs>
      </w:pPr>
      <w:r>
        <w:t>Цена (для аналога) может быть взята из соответствующего источника, при этом необходимо указать источник. В противном случае надлежит выпо</w:t>
      </w:r>
      <w:r>
        <w:t>л</w:t>
      </w:r>
      <w:r>
        <w:t>нить ее оце</w:t>
      </w:r>
      <w:r>
        <w:t>н</w:t>
      </w:r>
      <w:r>
        <w:t>ку:</w:t>
      </w:r>
    </w:p>
    <w:p w:rsidR="007562B2" w:rsidRDefault="007562B2">
      <w:pPr>
        <w:tabs>
          <w:tab w:val="left" w:pos="-2340"/>
        </w:tabs>
      </w:pPr>
    </w:p>
    <w:p w:rsidR="007562B2" w:rsidRDefault="007562B2">
      <w:pPr>
        <w:tabs>
          <w:tab w:val="left" w:pos="-2340"/>
        </w:tabs>
        <w:jc w:val="right"/>
      </w:pPr>
      <w:r>
        <w:rPr>
          <w:position w:val="-12"/>
        </w:rPr>
        <w:object w:dxaOrig="1820" w:dyaOrig="380">
          <v:shape id="_x0000_i1044" type="#_x0000_t75" style="width:90.85pt;height:18.85pt" o:ole="">
            <v:imagedata r:id="rId47" o:title=""/>
          </v:shape>
          <o:OLEObject Type="Embed" ProgID="Equation.3" ShapeID="_x0000_i1044" DrawAspect="Content" ObjectID="_1633867611" r:id="rId48"/>
        </w:object>
      </w:r>
      <w:r>
        <w:t xml:space="preserve"> 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7562B2" w:rsidRDefault="007562B2">
      <w:pPr>
        <w:tabs>
          <w:tab w:val="left" w:pos="-2340"/>
        </w:tabs>
      </w:pPr>
    </w:p>
    <w:p w:rsidR="007562B2" w:rsidRDefault="007562B2">
      <w:pPr>
        <w:tabs>
          <w:tab w:val="left" w:pos="-2340"/>
        </w:tabs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где    </w:t>
      </w:r>
      <w:r>
        <w:rPr>
          <w:rFonts w:ascii="Times New Roman CYR" w:hAnsi="Times New Roman CYR"/>
          <w:position w:val="-12"/>
        </w:rPr>
        <w:object w:dxaOrig="400" w:dyaOrig="380">
          <v:shape id="_x0000_i1045" type="#_x0000_t75" style="width:19.85pt;height:18.85pt" o:ole="">
            <v:imagedata r:id="rId35" o:title=""/>
          </v:shape>
          <o:OLEObject Type="Embed" ProgID="Equation.3" ShapeID="_x0000_i1045" DrawAspect="Content" ObjectID="_1633867612" r:id="rId49"/>
        </w:object>
      </w:r>
      <w:r>
        <w:rPr>
          <w:rFonts w:ascii="Times New Roman CYR" w:hAnsi="Times New Roman CYR"/>
        </w:rPr>
        <w:t xml:space="preserve"> – цена единицы продукции;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position w:val="-6"/>
        </w:rPr>
        <w:object w:dxaOrig="480" w:dyaOrig="300">
          <v:shape id="_x0000_i1046" type="#_x0000_t75" style="width:23.85pt;height:14.9pt" o:ole="">
            <v:imagedata r:id="rId50" o:title=""/>
          </v:shape>
          <o:OLEObject Type="Embed" ProgID="Equation.3" ShapeID="_x0000_i1046" DrawAspect="Content" ObjectID="_1633867613" r:id="rId51"/>
        </w:object>
      </w:r>
      <w:r>
        <w:rPr>
          <w:rFonts w:ascii="Times New Roman CYR" w:hAnsi="Times New Roman CYR"/>
        </w:rPr>
        <w:t xml:space="preserve"> – затраты (себестоимость) на единицу продукции,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  <w:position w:val="-12"/>
        </w:rPr>
        <w:object w:dxaOrig="520" w:dyaOrig="380">
          <v:shape id="_x0000_i1047" type="#_x0000_t75" style="width:25.8pt;height:18.85pt" o:ole="">
            <v:imagedata r:id="rId52" o:title=""/>
          </v:shape>
          <o:OLEObject Type="Embed" ProgID="Equation.3" ShapeID="_x0000_i1047" DrawAspect="Content" ObjectID="_1633867614" r:id="rId53"/>
        </w:object>
      </w:r>
      <w:r>
        <w:rPr>
          <w:rFonts w:ascii="Times New Roman CYR" w:hAnsi="Times New Roman CYR"/>
        </w:rPr>
        <w:t xml:space="preserve"> – прибыль на единицу продукции, руб.;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Себестоимость единицы продукции </w:t>
      </w:r>
      <w:r>
        <w:rPr>
          <w:rFonts w:ascii="Times New Roman CYR" w:hAnsi="Times New Roman CYR"/>
          <w:position w:val="-6"/>
        </w:rPr>
        <w:object w:dxaOrig="480" w:dyaOrig="300">
          <v:shape id="_x0000_i1048" type="#_x0000_t75" style="width:23.85pt;height:14.9pt" o:ole="">
            <v:imagedata r:id="rId54" o:title=""/>
          </v:shape>
          <o:OLEObject Type="Embed" ProgID="Equation.3" ShapeID="_x0000_i1048" DrawAspect="Content" ObjectID="_1633867615" r:id="rId55"/>
        </w:object>
      </w:r>
      <w:r>
        <w:rPr>
          <w:rFonts w:ascii="Times New Roman CYR" w:hAnsi="Times New Roman CYR"/>
        </w:rPr>
        <w:t xml:space="preserve"> может быть вычислена с пом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щью о</w:t>
      </w:r>
      <w:r>
        <w:rPr>
          <w:rFonts w:ascii="Times New Roman CYR" w:hAnsi="Times New Roman CYR"/>
        </w:rPr>
        <w:t>д</w:t>
      </w:r>
      <w:r>
        <w:rPr>
          <w:rFonts w:ascii="Times New Roman CYR" w:hAnsi="Times New Roman CYR"/>
        </w:rPr>
        <w:t>ного из существующих в экономическом анализе методов, в том числе изложенных в [1]. В частности оценить себестоимость единицы аналога и ра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работки можно с помощью сл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дующих методов: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1) балльный метод;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2) метод удельных затрат;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3) метод удельных весов;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4) метод средней стоимости функциональных элементов;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5) метод регрессионного анализа;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6) метод нормативной калькуляции;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7) метод расчета себестоимости с учетом выхода годных и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делий.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Каждый из методов обладает теми или иными достоинствами и недоста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ками, показаниями и ограничениями к применению. В зависимости от ос</w:t>
      </w:r>
      <w:r>
        <w:rPr>
          <w:rFonts w:ascii="Times New Roman CYR" w:hAnsi="Times New Roman CYR"/>
        </w:rPr>
        <w:t>у</w:t>
      </w:r>
      <w:r>
        <w:rPr>
          <w:rFonts w:ascii="Times New Roman CYR" w:hAnsi="Times New Roman CYR"/>
        </w:rPr>
        <w:t>ществляемой разработки студенту надлежит самостоятельно выбрать наиболее подходящий для оце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ки себестоимости разработки и аналога метод.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В качестве примера приведем наиболее употребительный из существу</w:t>
      </w:r>
      <w:r>
        <w:rPr>
          <w:rFonts w:ascii="Times New Roman CYR" w:hAnsi="Times New Roman CYR"/>
        </w:rPr>
        <w:t>ю</w:t>
      </w:r>
      <w:r>
        <w:rPr>
          <w:rFonts w:ascii="Times New Roman CYR" w:hAnsi="Times New Roman CYR"/>
        </w:rPr>
        <w:lastRenderedPageBreak/>
        <w:t>щих м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тодов – метод нормативной калькуляции. Этот метод предусматривает при изготовлении товара суммирование всех статей расходов, таких как: затр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ты на сырье, материалы, комплектующие, полуфабрикаты, расходы на зарабо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ную плату производстве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ных рабочих, расходы на содержание и эксплуатацию оборудования, цеховые расходы, общезаво</w:t>
      </w:r>
      <w:r>
        <w:rPr>
          <w:rFonts w:ascii="Times New Roman CYR" w:hAnsi="Times New Roman CYR"/>
        </w:rPr>
        <w:t>д</w:t>
      </w:r>
      <w:r>
        <w:rPr>
          <w:rFonts w:ascii="Times New Roman CYR" w:hAnsi="Times New Roman CYR"/>
        </w:rPr>
        <w:t>ские расходы, а также транспортно-заготовительные расходы, размер дополнительной заработной платы, социал</w:t>
      </w:r>
      <w:r>
        <w:rPr>
          <w:rFonts w:ascii="Times New Roman CYR" w:hAnsi="Times New Roman CYR"/>
        </w:rPr>
        <w:t>ь</w:t>
      </w:r>
      <w:r>
        <w:rPr>
          <w:rFonts w:ascii="Times New Roman CYR" w:hAnsi="Times New Roman CYR"/>
        </w:rPr>
        <w:t>ные о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числения с фонда оплаты труда.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Использование этого метода требует привязки осуществляемой разрабо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ки к конкретному предприятию и к конкретной технологии и наличия всей управленческой и маркетинговой информации, связанной с деятельностью предпр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ятия.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Затраты на сырье, материалы, комплектующие, полуфабрикаты, из кот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рых состоят аналог и разработка, затраты на заработную плату и др. рассчит</w:t>
      </w:r>
      <w:r>
        <w:rPr>
          <w:rFonts w:ascii="Times New Roman CYR" w:hAnsi="Times New Roman CYR"/>
        </w:rPr>
        <w:t>ы</w:t>
      </w:r>
      <w:r>
        <w:rPr>
          <w:rFonts w:ascii="Times New Roman CYR" w:hAnsi="Times New Roman CYR"/>
        </w:rPr>
        <w:t>ваются на основе спецификаций комплекта конструкторской документации, прайс-листов, штатн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го расписания, применяемых тарифов, норм, нормативов и т.п.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Транспортно-заготовительные расходы, расходы на содержание и экспл</w:t>
      </w:r>
      <w:r>
        <w:rPr>
          <w:rFonts w:ascii="Times New Roman CYR" w:hAnsi="Times New Roman CYR"/>
        </w:rPr>
        <w:t>у</w:t>
      </w:r>
      <w:r>
        <w:rPr>
          <w:rFonts w:ascii="Times New Roman CYR" w:hAnsi="Times New Roman CYR"/>
        </w:rPr>
        <w:t>атацию оборудования, размер дополнительной заработной платы, цеховые ра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>ходы, общезаводские расходы и прочее определяются в процентном отн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шении к стоимости приобретаемых материальных ценностей либо к размеру основной заработной платы на основании статистической информации о деятельности предприятия за предыдущие годы. В общем случае они зависят от следующих обстоятельств: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технического уровня разработки и сложности применяемых те</w:t>
      </w:r>
      <w:r>
        <w:rPr>
          <w:rFonts w:ascii="Times New Roman CYR" w:hAnsi="Times New Roman CYR"/>
        </w:rPr>
        <w:t>х</w:t>
      </w:r>
      <w:r>
        <w:rPr>
          <w:rFonts w:ascii="Times New Roman CYR" w:hAnsi="Times New Roman CYR"/>
        </w:rPr>
        <w:t>нологий;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доступности ресурсов, в том числе и квалифицированных специалистов;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менеджмента и его структуры на предприятии-изготовителе;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возможной текущей стратегии предприятия-изготовителя; 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возможной текущей маркетинговой политики предприятия-изготовит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ля и др.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Результаты калькуляции при использовании метода нормативной кальк</w:t>
      </w:r>
      <w:r>
        <w:rPr>
          <w:rFonts w:ascii="Times New Roman CYR" w:hAnsi="Times New Roman CYR"/>
        </w:rPr>
        <w:t>у</w:t>
      </w:r>
      <w:r>
        <w:rPr>
          <w:rFonts w:ascii="Times New Roman CYR" w:hAnsi="Times New Roman CYR"/>
        </w:rPr>
        <w:t>ляции заносятся в соответствующие таблицы (табл. 3.2, 3.3, 3.4), а затем в ит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говую таблицу калькуляции полной себестоим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сти (табл. 3.5).</w:t>
      </w: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Таблица 3.2</w:t>
      </w:r>
    </w:p>
    <w:p w:rsidR="007562B2" w:rsidRDefault="007562B2">
      <w:pPr>
        <w:tabs>
          <w:tab w:val="left" w:pos="-2340"/>
        </w:tabs>
        <w:ind w:firstLine="0"/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Затраты на сырье и материалы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2002"/>
        <w:gridCol w:w="2127"/>
        <w:gridCol w:w="1902"/>
        <w:gridCol w:w="1879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Материал</w:t>
            </w:r>
          </w:p>
        </w:tc>
        <w:tc>
          <w:tcPr>
            <w:tcW w:w="103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Единица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измер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/>
                <w:sz w:val="24"/>
                <w:szCs w:val="24"/>
              </w:rPr>
              <w:t>ния</w:t>
            </w:r>
          </w:p>
        </w:tc>
        <w:tc>
          <w:tcPr>
            <w:tcW w:w="1097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Цена за един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>цу, руб.</w:t>
            </w:r>
          </w:p>
        </w:tc>
        <w:tc>
          <w:tcPr>
            <w:tcW w:w="981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Расход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на изд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/>
                <w:sz w:val="24"/>
                <w:szCs w:val="24"/>
              </w:rPr>
              <w:t>лие</w:t>
            </w:r>
          </w:p>
        </w:tc>
        <w:tc>
          <w:tcPr>
            <w:tcW w:w="97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Сто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>мость,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кг</w:t>
            </w:r>
          </w:p>
        </w:tc>
        <w:tc>
          <w:tcPr>
            <w:tcW w:w="1097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</w:t>
            </w:r>
          </w:p>
        </w:tc>
        <w:tc>
          <w:tcPr>
            <w:tcW w:w="1097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7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0" w:type="pct"/>
            <w:gridSpan w:val="4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Химические реактивы</w:t>
            </w:r>
          </w:p>
        </w:tc>
        <w:tc>
          <w:tcPr>
            <w:tcW w:w="970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0" w:type="pct"/>
            <w:gridSpan w:val="4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Транспортно-заготовительные расходы (       %)</w:t>
            </w:r>
          </w:p>
        </w:tc>
        <w:tc>
          <w:tcPr>
            <w:tcW w:w="970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0" w:type="pct"/>
            <w:gridSpan w:val="4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Итого</w:t>
            </w:r>
          </w:p>
        </w:tc>
        <w:tc>
          <w:tcPr>
            <w:tcW w:w="970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br w:type="page"/>
      </w:r>
      <w:r>
        <w:rPr>
          <w:rFonts w:ascii="Times New Roman CYR" w:hAnsi="Times New Roman CYR"/>
        </w:rPr>
        <w:lastRenderedPageBreak/>
        <w:t>Таблица 3.3</w:t>
      </w:r>
    </w:p>
    <w:p w:rsidR="007562B2" w:rsidRDefault="007562B2">
      <w:pPr>
        <w:tabs>
          <w:tab w:val="left" w:pos="-2340"/>
        </w:tabs>
        <w:ind w:firstLine="0"/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Затраты на покупные изделия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36"/>
        <w:gridCol w:w="2463"/>
        <w:gridCol w:w="2611"/>
        <w:gridCol w:w="2343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Количес</w:t>
            </w:r>
            <w:r>
              <w:rPr>
                <w:rFonts w:ascii="Times New Roman CYR" w:hAnsi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/>
                <w:sz w:val="24"/>
                <w:szCs w:val="24"/>
              </w:rPr>
              <w:t>во,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шт.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Цена един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>цы,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руб.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Сто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>мость,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11" w:type="pct"/>
            <w:gridSpan w:val="3"/>
            <w:tcBorders>
              <w:top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Транспортно-заготовительные расходы (      %)</w:t>
            </w: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11" w:type="pct"/>
            <w:gridSpan w:val="3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Итого</w:t>
            </w:r>
          </w:p>
        </w:tc>
        <w:tc>
          <w:tcPr>
            <w:tcW w:w="1189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709"/>
        </w:tabs>
        <w:jc w:val="right"/>
      </w:pPr>
      <w:r>
        <w:rPr>
          <w:rFonts w:ascii="Times New Roman CYR" w:hAnsi="Times New Roman CYR"/>
        </w:rPr>
        <w:t>Таблица</w:t>
      </w:r>
      <w:r>
        <w:t xml:space="preserve"> 3.4</w:t>
      </w:r>
    </w:p>
    <w:p w:rsidR="007562B2" w:rsidRDefault="007562B2">
      <w:pPr>
        <w:tabs>
          <w:tab w:val="left" w:pos="709"/>
        </w:tabs>
        <w:ind w:firstLine="0"/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Расчет основной заработной платы производственных рабочих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40"/>
        <w:gridCol w:w="2483"/>
        <w:gridCol w:w="3734"/>
        <w:gridCol w:w="1896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Вид работ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Трудое</w:t>
            </w:r>
            <w:r>
              <w:rPr>
                <w:rFonts w:ascii="Times New Roman CYR" w:hAnsi="Times New Roman CYR"/>
                <w:sz w:val="24"/>
              </w:rPr>
              <w:t>м</w:t>
            </w:r>
            <w:r>
              <w:rPr>
                <w:rFonts w:ascii="Times New Roman CYR" w:hAnsi="Times New Roman CYR"/>
                <w:sz w:val="24"/>
              </w:rPr>
              <w:t>кость,</w:t>
            </w:r>
          </w:p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час</w:t>
            </w:r>
          </w:p>
        </w:tc>
        <w:tc>
          <w:tcPr>
            <w:tcW w:w="1895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Средняя часовая т</w:t>
            </w:r>
            <w:r>
              <w:rPr>
                <w:rFonts w:ascii="Times New Roman CYR" w:hAnsi="Times New Roman CYR"/>
                <w:sz w:val="24"/>
              </w:rPr>
              <w:t>а</w:t>
            </w:r>
            <w:r>
              <w:rPr>
                <w:rFonts w:ascii="Times New Roman CYR" w:hAnsi="Times New Roman CYR"/>
                <w:sz w:val="24"/>
              </w:rPr>
              <w:t>рифная ставка, руб.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Су</w:t>
            </w:r>
            <w:r>
              <w:rPr>
                <w:rFonts w:ascii="Times New Roman CYR" w:hAnsi="Times New Roman CYR"/>
                <w:sz w:val="24"/>
              </w:rPr>
              <w:t>м</w:t>
            </w:r>
            <w:r>
              <w:rPr>
                <w:rFonts w:ascii="Times New Roman CYR" w:hAnsi="Times New Roman CYR"/>
                <w:sz w:val="24"/>
              </w:rPr>
              <w:t>ма,</w:t>
            </w:r>
          </w:p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8" w:type="pct"/>
            <w:gridSpan w:val="3"/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Итого основная зарплата</w:t>
            </w:r>
          </w:p>
        </w:tc>
        <w:tc>
          <w:tcPr>
            <w:tcW w:w="962" w:type="pct"/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sz w:val="24"/>
              </w:rPr>
            </w:pPr>
          </w:p>
        </w:tc>
      </w:tr>
    </w:tbl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Таблица</w:t>
      </w:r>
      <w:r>
        <w:t xml:space="preserve"> 3.5</w:t>
      </w:r>
    </w:p>
    <w:p w:rsidR="007562B2" w:rsidRDefault="007562B2">
      <w:pPr>
        <w:ind w:firstLine="0"/>
        <w:jc w:val="center"/>
      </w:pPr>
      <w:r>
        <w:t>Калькуляция полной себестоимости устройства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7685"/>
        <w:gridCol w:w="2168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628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статьи калькуляции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628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Сумма,</w:t>
            </w:r>
          </w:p>
          <w:p w:rsidR="007562B2" w:rsidRDefault="007562B2">
            <w:pPr>
              <w:tabs>
                <w:tab w:val="left" w:pos="-2628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 Сырье и материалы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 Покупные комплектующие изделия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pStyle w:val="8"/>
            </w:pPr>
            <w:r>
              <w:t>Итого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b/>
                <w:i/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 Основная заработная плата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 Дополнительная заработная плата (</w:t>
            </w:r>
            <w:r>
              <w:rPr>
                <w:sz w:val="24"/>
              </w:rPr>
              <w:t xml:space="preserve">       %)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5. Социальные отчисления (        %)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6. Расходы на содержание и эксплуатацию оборудования (        %)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7. Цеховые расходы (</w:t>
            </w:r>
            <w:r>
              <w:rPr>
                <w:sz w:val="24"/>
              </w:rPr>
              <w:t xml:space="preserve">        %)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8. Общезаводские расходы (         %)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Производственная себестоимость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8. Внепроизводственные расходы (       %)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Полная себестоимость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</w:p>
        </w:tc>
      </w:tr>
    </w:tbl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Цена единицы продукции зависит не только от полученной в ходе расч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тов и оценок себестоимости, но и от закладываемой в единицу продукции пр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 xml:space="preserve">были </w:t>
      </w:r>
      <w:r>
        <w:rPr>
          <w:rFonts w:ascii="Times New Roman CYR" w:hAnsi="Times New Roman CYR"/>
          <w:position w:val="-12"/>
        </w:rPr>
        <w:object w:dxaOrig="520" w:dyaOrig="380">
          <v:shape id="_x0000_i1049" type="#_x0000_t75" style="width:25.8pt;height:18.85pt" o:ole="">
            <v:imagedata r:id="rId56" o:title=""/>
          </v:shape>
          <o:OLEObject Type="Embed" ProgID="Equation.3" ShapeID="_x0000_i1049" DrawAspect="Content" ObjectID="_1633867616" r:id="rId57"/>
        </w:object>
      </w:r>
      <w:r>
        <w:rPr>
          <w:rFonts w:ascii="Times New Roman CYR" w:hAnsi="Times New Roman CYR"/>
        </w:rPr>
        <w:t xml:space="preserve">. Прибыль на единицу продукции </w:t>
      </w:r>
      <w:r>
        <w:rPr>
          <w:rFonts w:ascii="Times New Roman CYR" w:hAnsi="Times New Roman CYR"/>
          <w:position w:val="-12"/>
        </w:rPr>
        <w:object w:dxaOrig="520" w:dyaOrig="380">
          <v:shape id="_x0000_i1050" type="#_x0000_t75" style="width:25.8pt;height:18.85pt" o:ole="">
            <v:imagedata r:id="rId56" o:title=""/>
          </v:shape>
          <o:OLEObject Type="Embed" ProgID="Equation.3" ShapeID="_x0000_i1050" DrawAspect="Content" ObjectID="_1633867617" r:id="rId58"/>
        </w:object>
      </w:r>
      <w:r>
        <w:rPr>
          <w:rFonts w:ascii="Times New Roman CYR" w:hAnsi="Times New Roman CYR"/>
        </w:rPr>
        <w:t xml:space="preserve"> устанавливается предприятием самостоятельно в зависимости от реализуемой стратегии и принятой им цен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вой политики. В частности задачами ценообразования на предприятии - изгот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вителе могут быть: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обеспечение выживаемости предприятия;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- максимизация текущей прибыли;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обеспечение целевой прибыли;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обеспечение средней доходности по отрасли;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лидерство по качеству;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прочие.</w:t>
      </w:r>
    </w:p>
    <w:p w:rsidR="007562B2" w:rsidRDefault="007562B2">
      <w:r>
        <w:t>Размер прибыли принято относить к полной себестоимости, тем самым получая относительную доходность – рентабельность продукции. Величина рентабельности продукции в зависимости от стратегии и ценовой политики предприятия, отрасли, уровня технологий, особенностей и назначения разр</w:t>
      </w:r>
      <w:r>
        <w:t>а</w:t>
      </w:r>
      <w:r>
        <w:t>ботки, ситуации на рынке, пол</w:t>
      </w:r>
      <w:r>
        <w:t>и</w:t>
      </w:r>
      <w:r>
        <w:t>тической и социальной обстановки и пр. может варьироваться в пределах от 0 %  до 300 % и более. В табл. 3.6 приведены ра</w:t>
      </w:r>
      <w:r>
        <w:t>з</w:t>
      </w:r>
      <w:r>
        <w:t>меры норм прибыли для предприятий эле</w:t>
      </w:r>
      <w:r>
        <w:t>к</w:t>
      </w:r>
      <w:r>
        <w:t>тронной отрасли в зависимости от реализуемой стратегии. Следует помнить, что к</w:t>
      </w:r>
      <w:r>
        <w:t>о</w:t>
      </w:r>
      <w:r>
        <w:t>нечная цена устанавливается с учетом степени удовлетворения потребностей и покупательских ожиданий к</w:t>
      </w:r>
      <w:r>
        <w:t>о</w:t>
      </w:r>
      <w:r>
        <w:t>нечных потребителей.</w:t>
      </w:r>
    </w:p>
    <w:p w:rsidR="007562B2" w:rsidRDefault="007562B2">
      <w:pPr>
        <w:tabs>
          <w:tab w:val="left" w:pos="709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Таблица 3.6</w:t>
      </w:r>
    </w:p>
    <w:p w:rsidR="007562B2" w:rsidRDefault="007562B2">
      <w:pPr>
        <w:pStyle w:val="20"/>
        <w:ind w:firstLine="0"/>
      </w:pPr>
      <w:r>
        <w:t>Размеры рентабельности продукции для предприятий электронной</w:t>
      </w:r>
    </w:p>
    <w:p w:rsidR="007562B2" w:rsidRDefault="007562B2">
      <w:pPr>
        <w:pStyle w:val="20"/>
        <w:ind w:firstLine="0"/>
      </w:pPr>
      <w:r>
        <w:t>отра</w:t>
      </w:r>
      <w:r>
        <w:t>с</w:t>
      </w:r>
      <w:r>
        <w:t>ли в зависимости от реализуемой стратегии</w:t>
      </w:r>
    </w:p>
    <w:tbl>
      <w:tblPr>
        <w:tblW w:w="3726" w:type="pct"/>
        <w:jc w:val="center"/>
        <w:tblInd w:w="14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02"/>
        <w:gridCol w:w="3440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Стратегия предприятия</w:t>
            </w: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Норма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были, %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Выживание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0 - 6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Завоевание доли рынка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6 - 12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Ценовый лидер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10 - 25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Лидер по качеству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25 - 100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Снятие «сливок»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50 - 300</w:t>
            </w:r>
          </w:p>
        </w:tc>
      </w:tr>
    </w:tbl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pStyle w:val="a4"/>
      </w:pPr>
      <w:r>
        <w:t>С помощью табл. 3.7 устанавливают возможную рыночную цену разр</w:t>
      </w:r>
      <w:r>
        <w:t>а</w:t>
      </w:r>
      <w:r>
        <w:t>ботки. При этом следует обратить внимание, что размер налога на добавленную стоимость (НДС) определяется в зависимости от принятой предприятием - и</w:t>
      </w:r>
      <w:r>
        <w:t>з</w:t>
      </w:r>
      <w:r>
        <w:t>готовителем системы налогообложения, наименования изготавливаемого тов</w:t>
      </w:r>
      <w:r>
        <w:t>а</w:t>
      </w:r>
      <w:r>
        <w:t>ра (освобождаемого от НДС, имеющего другую ставку налога) и размера уже уплаченного НДС по приобретенным материалам и компле</w:t>
      </w:r>
      <w:r>
        <w:t>к</w:t>
      </w:r>
      <w:r>
        <w:t>тующим.</w:t>
      </w:r>
    </w:p>
    <w:p w:rsidR="007562B2" w:rsidRDefault="007562B2">
      <w:pPr>
        <w:rPr>
          <w:rFonts w:ascii="Times New Roman CYR" w:hAnsi="Times New Roman CYR"/>
          <w:b/>
        </w:rPr>
      </w:pPr>
    </w:p>
    <w:p w:rsidR="007562B2" w:rsidRDefault="007562B2">
      <w:pPr>
        <w:tabs>
          <w:tab w:val="left" w:pos="709"/>
        </w:tabs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Таблица 3.7</w:t>
      </w:r>
    </w:p>
    <w:p w:rsidR="007562B2" w:rsidRDefault="007562B2">
      <w:pPr>
        <w:ind w:firstLine="0"/>
        <w:jc w:val="center"/>
      </w:pPr>
      <w:r>
        <w:t>Определение цены продукции</w:t>
      </w:r>
    </w:p>
    <w:tbl>
      <w:tblPr>
        <w:tblW w:w="4903" w:type="pct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8"/>
        <w:gridCol w:w="1954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9" w:type="pct"/>
            <w:vAlign w:val="center"/>
          </w:tcPr>
          <w:p w:rsidR="007562B2" w:rsidRDefault="007562B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статьи калькуляции</w:t>
            </w:r>
          </w:p>
        </w:tc>
        <w:tc>
          <w:tcPr>
            <w:tcW w:w="1011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9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Полная себестоимость</w:t>
            </w:r>
          </w:p>
        </w:tc>
        <w:tc>
          <w:tcPr>
            <w:tcW w:w="1011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9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Закладываемая прибыль (       %)</w:t>
            </w:r>
          </w:p>
        </w:tc>
        <w:tc>
          <w:tcPr>
            <w:tcW w:w="1011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9" w:type="pct"/>
          </w:tcPr>
          <w:p w:rsidR="007562B2" w:rsidRDefault="007562B2">
            <w:pPr>
              <w:pStyle w:val="9"/>
            </w:pPr>
            <w:r>
              <w:t>Итого, продажная цена без НДС</w:t>
            </w:r>
          </w:p>
        </w:tc>
        <w:tc>
          <w:tcPr>
            <w:tcW w:w="1011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9" w:type="pct"/>
          </w:tcPr>
          <w:p w:rsidR="007562B2" w:rsidRDefault="007562B2">
            <w:pPr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НДС, за вычетом уплаченного НДС по приобретенным</w:t>
            </w:r>
          </w:p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</w:t>
            </w:r>
            <w:r>
              <w:rPr>
                <w:rFonts w:ascii="Times New Roman CYR" w:hAnsi="Times New Roman CYR"/>
                <w:sz w:val="24"/>
              </w:rPr>
              <w:t>а</w:t>
            </w:r>
            <w:r>
              <w:rPr>
                <w:rFonts w:ascii="Times New Roman CYR" w:hAnsi="Times New Roman CYR"/>
                <w:sz w:val="24"/>
              </w:rPr>
              <w:t xml:space="preserve">териалам и комплектующим в табл. </w:t>
            </w:r>
            <w:r>
              <w:rPr>
                <w:sz w:val="24"/>
              </w:rPr>
              <w:t xml:space="preserve">3.2.-3.3. (       </w:t>
            </w:r>
            <w:r>
              <w:rPr>
                <w:rFonts w:ascii="Times New Roman CYR" w:hAnsi="Times New Roman CYR"/>
                <w:sz w:val="24"/>
              </w:rPr>
              <w:t>%)</w:t>
            </w:r>
          </w:p>
        </w:tc>
        <w:tc>
          <w:tcPr>
            <w:tcW w:w="1011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9" w:type="pct"/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Итого, продажная цена с НДС</w:t>
            </w:r>
          </w:p>
        </w:tc>
        <w:tc>
          <w:tcPr>
            <w:tcW w:w="1011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</w:tbl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Не должно ставить студента в тупик то обстоятельство, что цена новых разработок выше их аналогов. Это - обычное явление и вызвано более высок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 xml:space="preserve">ми расходами, связанными с разработкой и применением новых технологий, </w:t>
      </w:r>
      <w:r>
        <w:rPr>
          <w:rFonts w:ascii="Times New Roman CYR" w:hAnsi="Times New Roman CYR"/>
        </w:rPr>
        <w:lastRenderedPageBreak/>
        <w:t>обучением высококв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лифицированного персонала, необходимостью закупки и применения современных электронно-вычислительных средств и оборудов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ния, использованием новейших дорогостоящих материалов и веществ, пер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стройкой структуры и бизнес-процессов на предприятии и др. Более высокая цена разработки в сравнении с аналогом может легко компенсироваться с поз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ций конечного потребителя за счет лучших технических и эргономических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казателей, а также использования новых возможн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стей.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Под эксплуатационными расходами конечного потребителя обычно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нимают: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заработную плату обслуживающего персонала;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>
        <w:t>стоимость потребляемой электроэнергии и прочей энергии;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t>- затраты на профилактические (плановые) и внеплановые ремонты;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расходы, связанные с содержанием зданий, помещений;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накладные расходы;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прочие расходы.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position w:val="-16"/>
        </w:rPr>
        <w:object w:dxaOrig="5380" w:dyaOrig="420">
          <v:shape id="_x0000_i1051" type="#_x0000_t75" style="width:269.15pt;height:20.85pt" o:ole="">
            <v:imagedata r:id="rId59" o:title=""/>
          </v:shape>
          <o:OLEObject Type="Embed" ProgID="Equation.3" ShapeID="_x0000_i1051" DrawAspect="Content" ObjectID="_1633867618" r:id="rId60"/>
        </w:objec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(6)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В зависимости от выполняемой разработки некоторые из перечисленных расходов могут отсутствовать, а остальные – иметь очень приблизительную оценку. Тем не менее, при осуществлении оценок эксплуатационных расходов студенту надлежит р</w:t>
      </w:r>
      <w:r>
        <w:rPr>
          <w:rFonts w:ascii="Times New Roman CYR" w:hAnsi="Times New Roman CYR"/>
        </w:rPr>
        <w:t>у</w:t>
      </w:r>
      <w:r>
        <w:rPr>
          <w:rFonts w:ascii="Times New Roman CYR" w:hAnsi="Times New Roman CYR"/>
        </w:rPr>
        <w:t>ководствоваться: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сроком эксплуатации;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особенностями эксплуатации;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техническими требованиями к эксплуатации;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требованиями к квалификации обслуживающего персонала;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параметрами надежности аналога и разработки;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- прочее.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Эксплуатационные расходы определяются студентом самостоятельно с применением метода экспертных оценок из расчета месяца, года либо всего срока эксплуатации разработки, который целесообразно устанавливать не б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лее 5 лет. Результаты вычисления интегрального стоимостного показателя (цены потре</w:t>
      </w:r>
      <w:r>
        <w:rPr>
          <w:rFonts w:ascii="Times New Roman CYR" w:hAnsi="Times New Roman CYR"/>
        </w:rPr>
        <w:t>б</w:t>
      </w:r>
      <w:r>
        <w:rPr>
          <w:rFonts w:ascii="Times New Roman CYR" w:hAnsi="Times New Roman CYR"/>
        </w:rPr>
        <w:t>ления) аналога и разработки заносятся в табл. 3.8.</w:t>
      </w: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Таблица 3.8</w:t>
      </w:r>
    </w:p>
    <w:p w:rsidR="007562B2" w:rsidRDefault="007562B2">
      <w:pPr>
        <w:ind w:firstLine="180"/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Вычисление интегрального стоимостного показателя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3"/>
        <w:gridCol w:w="1951"/>
        <w:gridCol w:w="2059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статьи кальк</w:t>
            </w:r>
            <w:r>
              <w:rPr>
                <w:rFonts w:ascii="Times New Roman CYR" w:hAnsi="Times New Roman CYR"/>
                <w:sz w:val="24"/>
              </w:rPr>
              <w:t>у</w:t>
            </w:r>
            <w:r>
              <w:rPr>
                <w:rFonts w:ascii="Times New Roman CYR" w:hAnsi="Times New Roman CYR"/>
                <w:sz w:val="24"/>
              </w:rPr>
              <w:t>ляции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Аналог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Сумма, руб.</w:t>
            </w:r>
          </w:p>
        </w:tc>
        <w:tc>
          <w:tcPr>
            <w:tcW w:w="1045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Сумма, 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Полная себестоимость </w:t>
            </w:r>
            <w:r>
              <w:rPr>
                <w:rFonts w:ascii="Times New Roman CYR" w:hAnsi="Times New Roman CYR"/>
                <w:position w:val="-6"/>
              </w:rPr>
              <w:object w:dxaOrig="480" w:dyaOrig="300">
                <v:shape id="_x0000_i1052" type="#_x0000_t75" style="width:23.85pt;height:14.9pt" o:ole="">
                  <v:imagedata r:id="rId61" o:title=""/>
                </v:shape>
                <o:OLEObject Type="Embed" ProgID="Equation.3" ShapeID="_x0000_i1052" DrawAspect="Content" ObjectID="_1633867619" r:id="rId62"/>
              </w:object>
            </w:r>
          </w:p>
        </w:tc>
        <w:tc>
          <w:tcPr>
            <w:tcW w:w="990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045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  <w:tcBorders>
              <w:bottom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Продажная (покупная) цена </w:t>
            </w:r>
            <w:r>
              <w:rPr>
                <w:rFonts w:ascii="Times New Roman CYR" w:hAnsi="Times New Roman CYR"/>
                <w:position w:val="-12"/>
              </w:rPr>
              <w:object w:dxaOrig="400" w:dyaOrig="380">
                <v:shape id="_x0000_i1053" type="#_x0000_t75" style="width:19.85pt;height:18.85pt" o:ole="">
                  <v:imagedata r:id="rId63" o:title=""/>
                </v:shape>
                <o:OLEObject Type="Embed" ProgID="Equation.3" ShapeID="_x0000_i1053" DrawAspect="Content" ObjectID="_1633867620" r:id="rId64"/>
              </w:objec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045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Итого, единовременные капитальные з</w:t>
            </w:r>
            <w:r>
              <w:rPr>
                <w:rFonts w:ascii="Times New Roman CYR" w:hAnsi="Times New Roman CYR"/>
                <w:b/>
                <w:sz w:val="24"/>
              </w:rPr>
              <w:t>а</w:t>
            </w:r>
            <w:r>
              <w:rPr>
                <w:rFonts w:ascii="Times New Roman CYR" w:hAnsi="Times New Roman CYR"/>
                <w:b/>
                <w:sz w:val="24"/>
              </w:rPr>
              <w:t xml:space="preserve">траты </w:t>
            </w:r>
            <w:r>
              <w:rPr>
                <w:rFonts w:ascii="Times New Roman CYR" w:hAnsi="Times New Roman CYR"/>
                <w:position w:val="-4"/>
              </w:rPr>
              <w:object w:dxaOrig="300" w:dyaOrig="279">
                <v:shape id="_x0000_i1054" type="#_x0000_t75" style="width:14.9pt;height:13.9pt" o:ole="">
                  <v:imagedata r:id="rId65" o:title=""/>
                </v:shape>
                <o:OLEObject Type="Embed" ProgID="Equation.3" ShapeID="_x0000_i1054" DrawAspect="Content" ObjectID="_1633867621" r:id="rId66"/>
              </w:objec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045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  <w:tcBorders>
              <w:top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Итого, затра</w:t>
            </w:r>
            <w:r>
              <w:rPr>
                <w:rFonts w:ascii="Times New Roman CYR" w:hAnsi="Times New Roman CYR"/>
                <w:b/>
                <w:sz w:val="24"/>
              </w:rPr>
              <w:softHyphen/>
              <w:t>ты на эксплуатацию за все время р</w:t>
            </w:r>
            <w:r>
              <w:rPr>
                <w:rFonts w:ascii="Times New Roman CYR" w:hAnsi="Times New Roman CYR"/>
                <w:b/>
                <w:sz w:val="24"/>
              </w:rPr>
              <w:t>а</w:t>
            </w:r>
            <w:r>
              <w:rPr>
                <w:rFonts w:ascii="Times New Roman CYR" w:hAnsi="Times New Roman CYR"/>
                <w:b/>
                <w:sz w:val="24"/>
              </w:rPr>
              <w:t xml:space="preserve">боты изделия </w:t>
            </w:r>
            <w:r>
              <w:rPr>
                <w:rFonts w:ascii="Times New Roman CYR" w:hAnsi="Times New Roman CYR"/>
                <w:position w:val="-12"/>
              </w:rPr>
              <w:object w:dxaOrig="340" w:dyaOrig="380">
                <v:shape id="_x0000_i1055" type="#_x0000_t75" style="width:16.9pt;height:18.85pt" o:ole="">
                  <v:imagedata r:id="rId67" o:title=""/>
                </v:shape>
                <o:OLEObject Type="Embed" ProgID="Equation.3" ShapeID="_x0000_i1055" DrawAspect="Content" ObjectID="_1633867622" r:id="rId68"/>
              </w:objec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045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Итого, интегральный стоимостный показатель (цена п</w:t>
            </w:r>
            <w:r>
              <w:rPr>
                <w:rFonts w:ascii="Times New Roman CYR" w:hAnsi="Times New Roman CYR"/>
                <w:b/>
                <w:sz w:val="24"/>
              </w:rPr>
              <w:t>о</w:t>
            </w:r>
            <w:r>
              <w:rPr>
                <w:rFonts w:ascii="Times New Roman CYR" w:hAnsi="Times New Roman CYR"/>
                <w:b/>
                <w:sz w:val="24"/>
              </w:rPr>
              <w:t xml:space="preserve">требления) </w:t>
            </w:r>
            <w:r>
              <w:rPr>
                <w:rFonts w:ascii="Times New Roman CYR" w:hAnsi="Times New Roman CYR"/>
                <w:position w:val="-12"/>
              </w:rPr>
              <w:object w:dxaOrig="320" w:dyaOrig="380">
                <v:shape id="_x0000_i1056" type="#_x0000_t75" style="width:15.9pt;height:18.85pt" o:ole="">
                  <v:imagedata r:id="rId69" o:title=""/>
                </v:shape>
                <o:OLEObject Type="Embed" ProgID="Equation.3" ShapeID="_x0000_i1056" DrawAspect="Content" ObjectID="_1633867623" r:id="rId70"/>
              </w:object>
            </w:r>
          </w:p>
        </w:tc>
        <w:tc>
          <w:tcPr>
            <w:tcW w:w="990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045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</w:tbl>
    <w:p w:rsidR="007562B2" w:rsidRDefault="007562B2">
      <w:pPr>
        <w:pStyle w:val="2"/>
        <w:spacing w:after="0"/>
      </w:pPr>
      <w:bookmarkStart w:id="30" w:name="_Toc89169512"/>
      <w:bookmarkStart w:id="31" w:name="_Toc89170680"/>
      <w:bookmarkStart w:id="32" w:name="_Toc89170738"/>
      <w:bookmarkStart w:id="33" w:name="_Toc99193589"/>
      <w:r>
        <w:lastRenderedPageBreak/>
        <w:t>3.5. Расчет сравнительной технико-экономической эффективности разр</w:t>
      </w:r>
      <w:r>
        <w:t>а</w:t>
      </w:r>
      <w:r>
        <w:t>ботки</w:t>
      </w:r>
      <w:bookmarkEnd w:id="30"/>
      <w:bookmarkEnd w:id="31"/>
      <w:bookmarkEnd w:id="32"/>
      <w:bookmarkEnd w:id="33"/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Интегральный технико-экономических показатель с позиций маркетинг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вого подхода является обобщенной оценкой полезности и востребованности разработки для потребителя. Однако интегральный технико-экономический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казатель может дать полезную информацию только при сопоставлении с анал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гичным показателем, расчет которого осуществлен с применением одного и т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го же метода, одних и тех же критериев, одних и тех же экспертов. В резул</w:t>
      </w:r>
      <w:r>
        <w:rPr>
          <w:rFonts w:ascii="Times New Roman CYR" w:hAnsi="Times New Roman CYR"/>
        </w:rPr>
        <w:t>ь</w:t>
      </w:r>
      <w:r>
        <w:rPr>
          <w:rFonts w:ascii="Times New Roman CYR" w:hAnsi="Times New Roman CYR"/>
        </w:rPr>
        <w:t>тате сопоставления этих интегральных технико-экономических показателей пол</w:t>
      </w:r>
      <w:r>
        <w:rPr>
          <w:rFonts w:ascii="Times New Roman CYR" w:hAnsi="Times New Roman CYR"/>
        </w:rPr>
        <w:t>у</w:t>
      </w:r>
      <w:r>
        <w:rPr>
          <w:rFonts w:ascii="Times New Roman CYR" w:hAnsi="Times New Roman CYR"/>
        </w:rPr>
        <w:t>чают сравнительную технико-экономическую эффективность, которая явл</w:t>
      </w:r>
      <w:r>
        <w:rPr>
          <w:rFonts w:ascii="Times New Roman CYR" w:hAnsi="Times New Roman CYR"/>
        </w:rPr>
        <w:t>я</w:t>
      </w:r>
      <w:r>
        <w:rPr>
          <w:rFonts w:ascii="Times New Roman CYR" w:hAnsi="Times New Roman CYR"/>
        </w:rPr>
        <w:t>ется частным от деления одного показ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теля на другой.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Расчет интегральных технико-экономических показателей и сравнител</w:t>
      </w:r>
      <w:r>
        <w:rPr>
          <w:rFonts w:ascii="Times New Roman CYR" w:hAnsi="Times New Roman CYR"/>
        </w:rPr>
        <w:t>ь</w:t>
      </w:r>
      <w:r>
        <w:rPr>
          <w:rFonts w:ascii="Times New Roman CYR" w:hAnsi="Times New Roman CYR"/>
        </w:rPr>
        <w:t>ной технико-экономической эффективности производится на основе выбра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ных критериев для сравнения аналога и разработки (см. п.3.3) и введения с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стемы весовых коэфф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циентов, устанавливающей относительную значимость каждого параметра. Как уже отмечалось, общее количество параметров как к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личественных, так и качественных должно быть не более 5. Численное знач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ние весовых коэффициентов должно лежать в интервале от 0 до 1, а их сумма - равняться 1. Важно помнить, что присвоение численного значения весовым к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эффициентам должно быть осуществлено с позиции их значимости для потр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бителя. Проводимые в настоящем разделе расчеты удобно выполнить с пом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щью табл. 3.9, куда заносятся соответствующие параметры и присв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енные им весовые коэфф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циенты.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Значения параметров аналога и разработки представляют в относител</w:t>
      </w:r>
      <w:r>
        <w:rPr>
          <w:rFonts w:ascii="Times New Roman CYR" w:hAnsi="Times New Roman CYR"/>
        </w:rPr>
        <w:t>ь</w:t>
      </w:r>
      <w:r>
        <w:rPr>
          <w:rFonts w:ascii="Times New Roman CYR" w:hAnsi="Times New Roman CYR"/>
        </w:rPr>
        <w:t>ных единицах, то есть всем значениям параметров аналога присваивается зн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чение, равное единице, а значениям разработки – соответствующее численное улучшение параметра в разах (значение больше единицы) либо соответству</w:t>
      </w:r>
      <w:r>
        <w:rPr>
          <w:rFonts w:ascii="Times New Roman CYR" w:hAnsi="Times New Roman CYR"/>
        </w:rPr>
        <w:t>ю</w:t>
      </w:r>
      <w:r>
        <w:rPr>
          <w:rFonts w:ascii="Times New Roman CYR" w:hAnsi="Times New Roman CYR"/>
        </w:rPr>
        <w:t>щее численное ухудшение параметра в разах (значение меньше единицы, но больше нуля).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Наиболее широко используются две основные формы интегрального те</w:t>
      </w:r>
      <w:r>
        <w:rPr>
          <w:rFonts w:ascii="Times New Roman CYR" w:hAnsi="Times New Roman CYR"/>
        </w:rPr>
        <w:t>х</w:t>
      </w:r>
      <w:r>
        <w:rPr>
          <w:rFonts w:ascii="Times New Roman CYR" w:hAnsi="Times New Roman CYR"/>
        </w:rPr>
        <w:t>нического показ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теля качества: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1) аддитивная</w:t>
      </w:r>
    </w:p>
    <w:p w:rsidR="007562B2" w:rsidRDefault="007562B2">
      <w:pPr>
        <w:jc w:val="right"/>
      </w:pPr>
      <w:r>
        <w:rPr>
          <w:i/>
          <w:position w:val="-32"/>
        </w:rPr>
        <w:object w:dxaOrig="1340" w:dyaOrig="780">
          <v:shape id="_x0000_i1057" type="#_x0000_t75" style="width:67.05pt;height:39.25pt" o:ole="">
            <v:imagedata r:id="rId71" o:title=""/>
          </v:shape>
          <o:OLEObject Type="Embed" ProgID="Equation.3" ShapeID="_x0000_i1057" DrawAspect="Content" ObjectID="_1633867624" r:id="rId72"/>
        </w:object>
      </w:r>
      <w:r>
        <w:rPr>
          <w:i/>
        </w:rPr>
        <w:tab/>
        <w:t>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(7)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2) мультипликативная</w:t>
      </w:r>
    </w:p>
    <w:p w:rsidR="007562B2" w:rsidRDefault="007562B2">
      <w:pPr>
        <w:tabs>
          <w:tab w:val="left" w:pos="-2340"/>
        </w:tabs>
        <w:jc w:val="right"/>
      </w:pPr>
      <w:r>
        <w:rPr>
          <w:rFonts w:ascii="Times New Roman CYR" w:hAnsi="Times New Roman CYR"/>
          <w:position w:val="-34"/>
        </w:rPr>
        <w:object w:dxaOrig="1340" w:dyaOrig="820">
          <v:shape id="_x0000_i1058" type="#_x0000_t75" style="width:67.05pt;height:41.2pt" o:ole="" fillcolor="window">
            <v:imagedata r:id="rId73" o:title=""/>
          </v:shape>
          <o:OLEObject Type="Embed" ProgID="Equation.3" ShapeID="_x0000_i1058" DrawAspect="Content" ObjectID="_1633867625" r:id="rId74"/>
        </w:object>
      </w:r>
      <w:r>
        <w:rPr>
          <w:i/>
        </w:rPr>
        <w:tab/>
        <w:t>,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(8)</w:t>
      </w:r>
    </w:p>
    <w:p w:rsidR="007562B2" w:rsidRDefault="007562B2">
      <w:pPr>
        <w:tabs>
          <w:tab w:val="left" w:pos="-2340"/>
        </w:tabs>
      </w:pPr>
    </w:p>
    <w:p w:rsidR="007562B2" w:rsidRDefault="007562B2">
      <w:pPr>
        <w:ind w:firstLine="0"/>
        <w:rPr>
          <w:rFonts w:ascii="Times New Roman CYR" w:hAnsi="Times New Roman CYR"/>
        </w:rPr>
      </w:pPr>
      <w:r>
        <w:t xml:space="preserve">где     </w:t>
      </w:r>
      <w:r>
        <w:rPr>
          <w:position w:val="-12"/>
        </w:rPr>
        <w:object w:dxaOrig="320" w:dyaOrig="380">
          <v:shape id="_x0000_i1059" type="#_x0000_t75" style="width:15.9pt;height:18.85pt" o:ole="">
            <v:imagedata r:id="rId75" o:title=""/>
          </v:shape>
          <o:OLEObject Type="Embed" ProgID="Equation.3" ShapeID="_x0000_i1059" DrawAspect="Content" ObjectID="_1633867626" r:id="rId76"/>
        </w:object>
      </w:r>
      <w:r>
        <w:t xml:space="preserve"> – </w:t>
      </w:r>
      <w:r>
        <w:rPr>
          <w:rFonts w:ascii="Times New Roman CYR" w:hAnsi="Times New Roman CYR"/>
        </w:rPr>
        <w:t>интегральный технический показатель;</w:t>
      </w:r>
    </w:p>
    <w:p w:rsidR="007562B2" w:rsidRDefault="007562B2">
      <w:r>
        <w:rPr>
          <w:position w:val="-12"/>
        </w:rPr>
        <w:object w:dxaOrig="260" w:dyaOrig="380">
          <v:shape id="_x0000_i1060" type="#_x0000_t75" style="width:12.9pt;height:18.85pt" o:ole="">
            <v:imagedata r:id="rId77" o:title=""/>
          </v:shape>
          <o:OLEObject Type="Embed" ProgID="Equation.3" ShapeID="_x0000_i1060" DrawAspect="Content" ObjectID="_1633867627" r:id="rId78"/>
        </w:object>
      </w:r>
      <w:r>
        <w:t xml:space="preserve"> – весовой коэффициент </w:t>
      </w:r>
      <w:r>
        <w:rPr>
          <w:i/>
          <w:iCs/>
          <w:lang w:val="en-US"/>
        </w:rPr>
        <w:t>i</w:t>
      </w:r>
      <w:r>
        <w:t>-го параметра;</w:t>
      </w:r>
    </w:p>
    <w:p w:rsidR="007562B2" w:rsidRDefault="007562B2">
      <w:r>
        <w:rPr>
          <w:position w:val="-12"/>
        </w:rPr>
        <w:object w:dxaOrig="240" w:dyaOrig="380">
          <v:shape id="_x0000_i1061" type="#_x0000_t75" style="width:11.9pt;height:18.85pt" o:ole="">
            <v:imagedata r:id="rId79" o:title=""/>
          </v:shape>
          <o:OLEObject Type="Embed" ProgID="Equation.3" ShapeID="_x0000_i1061" DrawAspect="Content" ObjectID="_1633867628" r:id="rId80"/>
        </w:object>
      </w:r>
      <w:r>
        <w:t xml:space="preserve"> – значение </w:t>
      </w:r>
      <w:r>
        <w:rPr>
          <w:i/>
          <w:iCs/>
          <w:lang w:val="en-US"/>
        </w:rPr>
        <w:t>i</w:t>
      </w:r>
      <w:r>
        <w:t>-го параметра;</w:t>
      </w:r>
    </w:p>
    <w:p w:rsidR="007562B2" w:rsidRDefault="007562B2">
      <w:r>
        <w:rPr>
          <w:i/>
          <w:lang w:val="en-US"/>
        </w:rPr>
        <w:t>n</w:t>
      </w:r>
      <w:r>
        <w:t xml:space="preserve"> – чи</w:t>
      </w:r>
      <w:r>
        <w:t>с</w:t>
      </w:r>
      <w:r>
        <w:t>ло параметров сравнения.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Аддитивная форма (средневзвешенное суммирование) наиболее распр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странена, хотя ее недостатком является возможность компенсации одних пар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метров за счет других, тем самым «сглаживая» отличительные особенности разработки. В этом смысле мультипликативная форма представления предп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чтительнее, хотя следует отметить, что мультипликативная форма легко прео</w:t>
      </w:r>
      <w:r>
        <w:rPr>
          <w:rFonts w:ascii="Times New Roman CYR" w:hAnsi="Times New Roman CYR"/>
        </w:rPr>
        <w:t>б</w:t>
      </w:r>
      <w:r>
        <w:rPr>
          <w:rFonts w:ascii="Times New Roman CYR" w:hAnsi="Times New Roman CYR"/>
        </w:rPr>
        <w:t>разуется в аддитивную простым логарифмир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ванием.</w:t>
      </w:r>
    </w:p>
    <w:p w:rsidR="007562B2" w:rsidRDefault="007562B2">
      <w:r>
        <w:rPr>
          <w:rFonts w:ascii="Times New Roman CYR" w:hAnsi="Times New Roman CYR"/>
        </w:rPr>
        <w:t>Интегральные стоимостные показатели (цена потребления) аналога и ра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работки получают в ходе стоимостной оценки, произведенной в п.4 (см. табл. 3.8). При этом соответствующие значения аналога и разработки представляют в относительных единицах, то есть интегральный стоимостный показатель анал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га принимается равным единице, а интегральный стоимостный показатель ра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работки - соответствующее чи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>ленное удорожание в разах (значение больше единицы) либо соответствующее численное удешевление в разах (значение меньше единицы, но больше нуля).</w:t>
      </w:r>
    </w:p>
    <w:p w:rsidR="007562B2" w:rsidRDefault="007562B2">
      <w:r>
        <w:t>Интегральный технико-экономический показатель определяется как</w:t>
      </w:r>
    </w:p>
    <w:p w:rsidR="007562B2" w:rsidRDefault="007562B2"/>
    <w:p w:rsidR="007562B2" w:rsidRDefault="007562B2">
      <w:pPr>
        <w:jc w:val="right"/>
      </w:pPr>
      <w:r>
        <w:rPr>
          <w:position w:val="-34"/>
        </w:rPr>
        <w:object w:dxaOrig="1020" w:dyaOrig="780">
          <v:shape id="_x0000_i1062" type="#_x0000_t75" style="width:51.15pt;height:39.25pt" o:ole="">
            <v:imagedata r:id="rId81" o:title=""/>
          </v:shape>
          <o:OLEObject Type="Embed" ProgID="Equation.3" ShapeID="_x0000_i1062" DrawAspect="Content" ObjectID="_1633867629" r:id="rId82"/>
        </w:object>
      </w:r>
      <w:r>
        <w:t xml:space="preserve"> 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(9)</w:t>
      </w:r>
    </w:p>
    <w:p w:rsidR="007562B2" w:rsidRDefault="007562B2">
      <w:pPr>
        <w:ind w:firstLine="0"/>
      </w:pPr>
      <w:r>
        <w:t xml:space="preserve">где     </w:t>
      </w:r>
      <w:r>
        <w:rPr>
          <w:position w:val="-12"/>
          <w:lang w:val="en-US"/>
        </w:rPr>
        <w:object w:dxaOrig="420" w:dyaOrig="380">
          <v:shape id="_x0000_i1063" type="#_x0000_t75" style="width:20.85pt;height:18.85pt" o:ole="">
            <v:imagedata r:id="rId83" o:title=""/>
          </v:shape>
          <o:OLEObject Type="Embed" ProgID="Equation.3" ShapeID="_x0000_i1063" DrawAspect="Content" ObjectID="_1633867630" r:id="rId84"/>
        </w:object>
      </w:r>
      <w:r>
        <w:t xml:space="preserve"> – </w:t>
      </w:r>
      <w:r>
        <w:rPr>
          <w:rFonts w:ascii="Times New Roman CYR" w:hAnsi="Times New Roman CYR"/>
        </w:rPr>
        <w:t>интегральный технико-экономический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казатель;</w:t>
      </w:r>
    </w:p>
    <w:p w:rsidR="007562B2" w:rsidRDefault="007562B2">
      <w:r>
        <w:rPr>
          <w:position w:val="-12"/>
        </w:rPr>
        <w:object w:dxaOrig="320" w:dyaOrig="380">
          <v:shape id="_x0000_i1064" type="#_x0000_t75" style="width:15.9pt;height:18.85pt" o:ole="">
            <v:imagedata r:id="rId85" o:title=""/>
          </v:shape>
          <o:OLEObject Type="Embed" ProgID="Equation.3" ShapeID="_x0000_i1064" DrawAspect="Content" ObjectID="_1633867631" r:id="rId86"/>
        </w:object>
      </w:r>
      <w:r>
        <w:t xml:space="preserve"> – </w:t>
      </w:r>
      <w:r>
        <w:rPr>
          <w:rFonts w:ascii="Times New Roman CYR" w:hAnsi="Times New Roman CYR"/>
        </w:rPr>
        <w:t>интегральный стоимостный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казатель (цена потребления)</w:t>
      </w:r>
      <w:r>
        <w:t>.</w:t>
      </w:r>
    </w:p>
    <w:p w:rsidR="007562B2" w:rsidRDefault="007562B2">
      <w:r>
        <w:t xml:space="preserve">Сравнительная технико-экономическая эффективность разработки </w:t>
      </w:r>
    </w:p>
    <w:p w:rsidR="007562B2" w:rsidRDefault="007562B2"/>
    <w:p w:rsidR="007562B2" w:rsidRDefault="007562B2">
      <w:pPr>
        <w:jc w:val="right"/>
      </w:pPr>
      <w:r>
        <w:rPr>
          <w:position w:val="-38"/>
        </w:rPr>
        <w:object w:dxaOrig="1680" w:dyaOrig="900">
          <v:shape id="_x0000_i1065" type="#_x0000_t75" style="width:83.9pt;height:45.2pt" o:ole="">
            <v:imagedata r:id="rId87" o:title=""/>
          </v:shape>
          <o:OLEObject Type="Embed" ProgID="Equation.3" ShapeID="_x0000_i1065" DrawAspect="Content" ObjectID="_1633867632" r:id="rId88"/>
        </w:object>
      </w:r>
      <w:r>
        <w:t xml:space="preserve"> ,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7562B2" w:rsidRDefault="007562B2">
      <w:pPr>
        <w:tabs>
          <w:tab w:val="left" w:pos="-2340"/>
        </w:tabs>
        <w:ind w:firstLine="0"/>
      </w:pPr>
      <w:r>
        <w:t xml:space="preserve">где   </w:t>
      </w:r>
      <w:r>
        <w:rPr>
          <w:position w:val="-16"/>
        </w:rPr>
        <w:object w:dxaOrig="420" w:dyaOrig="420">
          <v:shape id="_x0000_i1066" type="#_x0000_t75" style="width:20.85pt;height:20.85pt" o:ole="">
            <v:imagedata r:id="rId89" o:title=""/>
          </v:shape>
          <o:OLEObject Type="Embed" ProgID="Equation.3" ShapeID="_x0000_i1066" DrawAspect="Content" ObjectID="_1633867633" r:id="rId90"/>
        </w:object>
      </w:r>
      <w:r>
        <w:t xml:space="preserve"> - сравнительная технико-экономическая эффективность разрабо</w:t>
      </w:r>
      <w:r>
        <w:t>т</w:t>
      </w:r>
      <w:r>
        <w:t>ки;</w:t>
      </w:r>
    </w:p>
    <w:p w:rsidR="007562B2" w:rsidRDefault="007562B2">
      <w:pPr>
        <w:tabs>
          <w:tab w:val="left" w:pos="-2340"/>
        </w:tabs>
        <w:ind w:firstLine="540"/>
      </w:pPr>
      <w:r>
        <w:rPr>
          <w:position w:val="-20"/>
        </w:rPr>
        <w:object w:dxaOrig="940" w:dyaOrig="460">
          <v:shape id="_x0000_i1067" type="#_x0000_t75" style="width:47.15pt;height:22.85pt" o:ole="">
            <v:imagedata r:id="rId91" o:title=""/>
          </v:shape>
          <o:OLEObject Type="Embed" ProgID="Equation.3" ShapeID="_x0000_i1067" DrawAspect="Content" ObjectID="_1633867634" r:id="rId92"/>
        </w:object>
      </w:r>
      <w:r>
        <w:t xml:space="preserve"> – </w:t>
      </w:r>
      <w:r>
        <w:rPr>
          <w:rFonts w:ascii="Times New Roman CYR" w:hAnsi="Times New Roman CYR"/>
        </w:rPr>
        <w:t>интегральный технико-</w:t>
      </w:r>
      <w:r>
        <w:t>экономический показатель разрабо</w:t>
      </w:r>
      <w:r>
        <w:t>т</w:t>
      </w:r>
      <w:r>
        <w:t xml:space="preserve">ки; </w:t>
      </w:r>
    </w:p>
    <w:p w:rsidR="007562B2" w:rsidRDefault="007562B2">
      <w:pPr>
        <w:tabs>
          <w:tab w:val="left" w:pos="-2340"/>
        </w:tabs>
        <w:ind w:firstLine="540"/>
      </w:pPr>
      <w:r>
        <w:rPr>
          <w:position w:val="-16"/>
          <w:lang w:val="en-US"/>
        </w:rPr>
        <w:object w:dxaOrig="900" w:dyaOrig="420">
          <v:shape id="_x0000_i1068" type="#_x0000_t75" style="width:45.2pt;height:20.85pt" o:ole="">
            <v:imagedata r:id="rId93" o:title=""/>
          </v:shape>
          <o:OLEObject Type="Embed" ProgID="Equation.3" ShapeID="_x0000_i1068" DrawAspect="Content" ObjectID="_1633867635" r:id="rId94"/>
        </w:object>
      </w:r>
      <w:r>
        <w:t xml:space="preserve"> – </w:t>
      </w:r>
      <w:r>
        <w:rPr>
          <w:rFonts w:ascii="Times New Roman CYR" w:hAnsi="Times New Roman CYR"/>
        </w:rPr>
        <w:t>интегральный технико-</w:t>
      </w:r>
      <w:r>
        <w:t>экономический показатель аналога.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Таблица 3.9</w:t>
      </w:r>
    </w:p>
    <w:p w:rsidR="007562B2" w:rsidRDefault="007562B2">
      <w:pPr>
        <w:ind w:firstLine="0"/>
        <w:jc w:val="center"/>
      </w:pPr>
      <w:r>
        <w:t>Расчет сравнительной технико-экономической эффективности ра</w:t>
      </w:r>
      <w:r>
        <w:t>з</w:t>
      </w:r>
      <w:r>
        <w:t>работки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603"/>
        <w:gridCol w:w="1612"/>
        <w:gridCol w:w="1352"/>
        <w:gridCol w:w="1169"/>
        <w:gridCol w:w="1362"/>
        <w:gridCol w:w="1182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vMerge w:val="restar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321" w:type="pct"/>
            <w:vMerge w:val="restar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Параметры и характ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  <w:tc>
          <w:tcPr>
            <w:tcW w:w="818" w:type="pct"/>
            <w:vMerge w:val="restar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Весовой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  <w:tc>
          <w:tcPr>
            <w:tcW w:w="1279" w:type="pct"/>
            <w:gridSpan w:val="2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Аналог</w:t>
            </w:r>
          </w:p>
        </w:tc>
        <w:tc>
          <w:tcPr>
            <w:tcW w:w="1291" w:type="pct"/>
            <w:gridSpan w:val="2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vMerge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21" w:type="pct"/>
            <w:vMerge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  <w:vertAlign w:val="subscript"/>
              </w:rPr>
            </w:pPr>
            <w:r>
              <w:rPr>
                <w:position w:val="-12"/>
                <w:sz w:val="24"/>
                <w:lang w:val="en-US"/>
              </w:rPr>
              <w:object w:dxaOrig="300" w:dyaOrig="380">
                <v:shape id="_x0000_i1069" type="#_x0000_t75" style="width:14.9pt;height:18.85pt" o:ole="">
                  <v:imagedata r:id="rId95" o:title=""/>
                </v:shape>
                <o:OLEObject Type="Embed" ProgID="Equation.3" ShapeID="_x0000_i1069" DrawAspect="Content" ObjectID="_1633867636" r:id="rId96"/>
              </w:objec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  <w:vertAlign w:val="subscript"/>
              </w:rPr>
            </w:pPr>
            <w:r>
              <w:rPr>
                <w:position w:val="-12"/>
                <w:sz w:val="24"/>
                <w:lang w:val="en-US"/>
              </w:rPr>
              <w:object w:dxaOrig="320" w:dyaOrig="380">
                <v:shape id="_x0000_i1070" type="#_x0000_t75" style="width:15.9pt;height:18.85pt" o:ole="">
                  <v:imagedata r:id="rId13" o:title=""/>
                </v:shape>
                <o:OLEObject Type="Embed" ProgID="Equation.3" ShapeID="_x0000_i1070" DrawAspect="Content" ObjectID="_1633867637" r:id="rId97"/>
              </w:objec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3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91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0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420" w:dyaOrig="380">
                <v:shape id="_x0000_i1071" type="#_x0000_t75" style="width:20.85pt;height:18.85pt" o:ole="">
                  <v:imagedata r:id="rId98" o:title=""/>
                </v:shape>
                <o:OLEObject Type="Embed" ProgID="Equation.3" ShapeID="_x0000_i1071" DrawAspect="Content" ObjectID="_1633867638" r:id="rId99"/>
              </w:objec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3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691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0" w:type="pct"/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b/>
                <w:sz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b/>
                <w:position w:val="-16"/>
                <w:sz w:val="24"/>
              </w:rPr>
              <w:object w:dxaOrig="420" w:dyaOrig="420">
                <v:shape id="_x0000_i1072" type="#_x0000_t75" style="width:20.85pt;height:20.85pt" o:ole="">
                  <v:imagedata r:id="rId100" o:title=""/>
                </v:shape>
                <o:OLEObject Type="Embed" ProgID="Equation.3" ShapeID="_x0000_i1072" DrawAspect="Content" ObjectID="_1633867639" r:id="rId101"/>
              </w:objec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b/>
                <w:sz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3" w:type="pct"/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pct"/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0" w:type="pct"/>
          </w:tcPr>
          <w:p w:rsidR="007562B2" w:rsidRDefault="007562B2">
            <w:pPr>
              <w:ind w:firstLine="0"/>
              <w:rPr>
                <w:b/>
                <w:sz w:val="24"/>
              </w:rPr>
            </w:pPr>
          </w:p>
        </w:tc>
      </w:tr>
    </w:tbl>
    <w:p w:rsidR="007562B2" w:rsidRDefault="007562B2">
      <w:pPr>
        <w:pStyle w:val="2"/>
        <w:spacing w:after="0"/>
      </w:pPr>
      <w:bookmarkStart w:id="34" w:name="_Toc89169513"/>
      <w:bookmarkStart w:id="35" w:name="_Toc89170681"/>
      <w:bookmarkStart w:id="36" w:name="_Toc89170739"/>
    </w:p>
    <w:p w:rsidR="007562B2" w:rsidRDefault="007562B2">
      <w:pPr>
        <w:pStyle w:val="2"/>
        <w:spacing w:after="0"/>
      </w:pPr>
      <w:bookmarkStart w:id="37" w:name="_Toc99193590"/>
      <w:r>
        <w:lastRenderedPageBreak/>
        <w:t>3.6. Заключение</w:t>
      </w:r>
      <w:bookmarkEnd w:id="34"/>
      <w:bookmarkEnd w:id="35"/>
      <w:bookmarkEnd w:id="36"/>
      <w:bookmarkEnd w:id="37"/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Заключение раздела ТЭО выпускной работы должно быть кратким и и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лагающим основные результаты расчетов и сопоставления. Интегральные те</w:t>
      </w:r>
      <w:r>
        <w:rPr>
          <w:rFonts w:ascii="Times New Roman CYR" w:hAnsi="Times New Roman CYR"/>
        </w:rPr>
        <w:t>х</w:t>
      </w:r>
      <w:r>
        <w:rPr>
          <w:rFonts w:ascii="Times New Roman CYR" w:hAnsi="Times New Roman CYR"/>
        </w:rPr>
        <w:t>нико-экономические показатели представляют собой численные оценки во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>требованности аналога и разр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ботки с позиций потребителя, а сравнительная техн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ко-экономическая эффективность разработки – численную технико-экономическую оценку целесообразности внедрения разработки ( ее коммерч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ской реализации).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Значения сравнительной технико-экономической эффективности разр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ботки б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лее 1,2 свидетельствуют о положительной оценке целесообразности внедрения разр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ботки, значения более 2,5 – о прорывном характере разработки в области техники и технологий, а значения более 6,5 – о возможных ошибках в использовании методики.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  <w:b/>
          <w:sz w:val="32"/>
          <w:szCs w:val="32"/>
        </w:rPr>
      </w:pPr>
    </w:p>
    <w:p w:rsidR="007562B2" w:rsidRDefault="007562B2">
      <w:pPr>
        <w:pStyle w:val="1"/>
      </w:pPr>
      <w:bookmarkStart w:id="38" w:name="_Toc89169514"/>
      <w:bookmarkStart w:id="39" w:name="_Toc89170682"/>
      <w:bookmarkStart w:id="40" w:name="_Toc89170740"/>
      <w:bookmarkStart w:id="41" w:name="_Toc99193591"/>
      <w:r>
        <w:t>4. Пример ТЭО «</w:t>
      </w:r>
      <w:r>
        <w:rPr>
          <w:rFonts w:ascii="Times New Roman CYR" w:hAnsi="Times New Roman CYR"/>
        </w:rPr>
        <w:t>Устройство корреляционной обработки сигналов на поверхностных акустических волнах</w:t>
      </w:r>
      <w:r>
        <w:t>»</w:t>
      </w:r>
      <w:bookmarkEnd w:id="38"/>
      <w:bookmarkEnd w:id="39"/>
      <w:bookmarkEnd w:id="40"/>
      <w:bookmarkEnd w:id="41"/>
    </w:p>
    <w:p w:rsidR="007562B2" w:rsidRDefault="007562B2">
      <w:pPr>
        <w:rPr>
          <w:rFonts w:ascii="Times New Roman CYR" w:hAnsi="Times New Roman CYR"/>
        </w:rPr>
      </w:pP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В качестве примера технико-экономического обоснования выпускной р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боты приведен соответствующий раздел работы студента на тему «Устройство корреляционной обработки сигналов на поверхностных акустических волнах», защищенного в 1997 году в ТРТУ, г. Таганрог [8]. В по</w:t>
      </w:r>
      <w:r>
        <w:rPr>
          <w:rFonts w:ascii="Times New Roman CYR" w:hAnsi="Times New Roman CYR"/>
        </w:rPr>
        <w:t>д</w:t>
      </w:r>
      <w:r>
        <w:rPr>
          <w:rFonts w:ascii="Times New Roman CYR" w:hAnsi="Times New Roman CYR"/>
        </w:rPr>
        <w:t>разделе стоимостной оценки проекта (п.п.4.5) использованы цены и тарифы 1997 года, а также зак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нодательство, де</w:t>
      </w:r>
      <w:r>
        <w:rPr>
          <w:rFonts w:ascii="Times New Roman CYR" w:hAnsi="Times New Roman CYR"/>
        </w:rPr>
        <w:t>й</w:t>
      </w:r>
      <w:r>
        <w:rPr>
          <w:rFonts w:ascii="Times New Roman CYR" w:hAnsi="Times New Roman CYR"/>
        </w:rPr>
        <w:t>ствовавшее на тот момент.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Приведенный пример не должен служить шаблоном в работе студента, дающим возможность бездумного копирования, а является ориентиром ос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знанного использования приобретенных умений и навыков и устанавливает нижний допустимый предел овладения знаниями.</w:t>
      </w:r>
    </w:p>
    <w:p w:rsidR="007562B2" w:rsidRDefault="007562B2"/>
    <w:p w:rsidR="007562B2" w:rsidRDefault="007562B2">
      <w:pPr>
        <w:pStyle w:val="2"/>
        <w:spacing w:after="0"/>
      </w:pPr>
      <w:bookmarkStart w:id="42" w:name="_Toc89169515"/>
      <w:bookmarkStart w:id="43" w:name="_Toc89170683"/>
      <w:bookmarkStart w:id="44" w:name="_Toc89170741"/>
      <w:bookmarkStart w:id="45" w:name="_Toc99193592"/>
      <w:r>
        <w:t>4.1. Обоснование необходимости и актуальности разработки</w:t>
      </w:r>
      <w:bookmarkEnd w:id="42"/>
      <w:bookmarkEnd w:id="43"/>
      <w:bookmarkEnd w:id="44"/>
      <w:bookmarkEnd w:id="45"/>
    </w:p>
    <w:p w:rsidR="007562B2" w:rsidRDefault="007562B2"/>
    <w:p w:rsidR="007562B2" w:rsidRDefault="007562B2">
      <w:r>
        <w:t>Современные темпы развития науки и техники создают повышенную п</w:t>
      </w:r>
      <w:r>
        <w:t>о</w:t>
      </w:r>
      <w:r>
        <w:t>требность в устройствах обработки информации. Такие устройства входят с</w:t>
      </w:r>
      <w:r>
        <w:t>о</w:t>
      </w:r>
      <w:r>
        <w:t>ставными частями в различные системы и установки и являются незаменимыми в решении определенного круга задач, в частности, вычисление свертки и п</w:t>
      </w:r>
      <w:r>
        <w:t>е</w:t>
      </w:r>
      <w:r>
        <w:t>ремножение сигналов. Корреляционная обработка сигналов для этих целей признана лучшей. Она п</w:t>
      </w:r>
      <w:r>
        <w:t>о</w:t>
      </w:r>
      <w:r>
        <w:t>зволяет выявлять очень слабые сигналы, амплитуды которых значительно меньше уровня помех. Выделить такой сигнал на фоне помех не в состоянии сделать ни одна другая обработка. Корреляционная обр</w:t>
      </w:r>
      <w:r>
        <w:t>а</w:t>
      </w:r>
      <w:r>
        <w:t>ботка также необходима при сравнении сигналов и выявлении между ними ст</w:t>
      </w:r>
      <w:r>
        <w:t>е</w:t>
      </w:r>
      <w:r>
        <w:t>пени похожести.</w:t>
      </w:r>
    </w:p>
    <w:p w:rsidR="007562B2" w:rsidRDefault="007562B2">
      <w:r>
        <w:t>Все эти задачи выполняют устройства, которые называются корреломе</w:t>
      </w:r>
      <w:r>
        <w:t>т</w:t>
      </w:r>
      <w:r>
        <w:t>ры или конвольверы. Суть работы этих устройств состоит в перемножении двух сигналов, которые подаются на вход устройства. С выхода прин</w:t>
      </w:r>
      <w:r>
        <w:t>и</w:t>
      </w:r>
      <w:r>
        <w:t>мают свертку сигналов, которую затем подают на оконечное обрабатывающее устро</w:t>
      </w:r>
      <w:r>
        <w:t>й</w:t>
      </w:r>
      <w:r>
        <w:t>ство.</w:t>
      </w:r>
    </w:p>
    <w:p w:rsidR="007562B2" w:rsidRDefault="007562B2">
      <w:r>
        <w:lastRenderedPageBreak/>
        <w:t>Предлагаемое устройство позволяет решать задачи управления и идент</w:t>
      </w:r>
      <w:r>
        <w:t>и</w:t>
      </w:r>
      <w:r>
        <w:t>фик</w:t>
      </w:r>
      <w:r>
        <w:t>а</w:t>
      </w:r>
      <w:r>
        <w:t>ции. Область применения таких устройств в современной жизни огромна: различные системы локации, автоматические системы стабилизации, управл</w:t>
      </w:r>
      <w:r>
        <w:t>е</w:t>
      </w:r>
      <w:r>
        <w:t>ния полетом и наведения, автоматические измерительные корреляционные с</w:t>
      </w:r>
      <w:r>
        <w:t>и</w:t>
      </w:r>
      <w:r>
        <w:t>стемы и другие применения в военной и гражданской технике, без которых нельзя обойтись в современной жизни.</w:t>
      </w:r>
    </w:p>
    <w:p w:rsidR="007562B2" w:rsidRDefault="007562B2">
      <w:pPr>
        <w:rPr>
          <w:bCs/>
        </w:rPr>
      </w:pPr>
    </w:p>
    <w:p w:rsidR="007562B2" w:rsidRDefault="007562B2">
      <w:pPr>
        <w:pStyle w:val="2"/>
        <w:spacing w:after="0"/>
      </w:pPr>
      <w:bookmarkStart w:id="46" w:name="_Toc89169517"/>
      <w:bookmarkStart w:id="47" w:name="_Toc89170685"/>
      <w:bookmarkStart w:id="48" w:name="_Toc89170743"/>
      <w:bookmarkStart w:id="49" w:name="_Toc99193593"/>
      <w:r>
        <w:t>4.2. Технические характеристики разрабатываемого устройства</w:t>
      </w:r>
      <w:bookmarkEnd w:id="46"/>
      <w:bookmarkEnd w:id="47"/>
      <w:bookmarkEnd w:id="48"/>
      <w:bookmarkEnd w:id="49"/>
    </w:p>
    <w:p w:rsidR="007562B2" w:rsidRDefault="007562B2"/>
    <w:p w:rsidR="007562B2" w:rsidRDefault="007562B2">
      <w:r>
        <w:t>Как уже отмечалось, проведенные исследования доказали возможность существования устройств обработки информации, построенных на эффекте н</w:t>
      </w:r>
      <w:r>
        <w:t>е</w:t>
      </w:r>
      <w:r>
        <w:t>линейного встречного взаимодействия в пьезоэлектрических кристаллах. В л</w:t>
      </w:r>
      <w:r>
        <w:t>и</w:t>
      </w:r>
      <w:r>
        <w:t>тературе есть мн</w:t>
      </w:r>
      <w:r>
        <w:t>о</w:t>
      </w:r>
      <w:r>
        <w:t>го указаний на возможность и перспективность разработки подобных устройств, однако теоретическая база для их точного расчета нах</w:t>
      </w:r>
      <w:r>
        <w:t>о</w:t>
      </w:r>
      <w:r>
        <w:t>дится в стадии создания. Тем не менее, существует методика расчета акустич</w:t>
      </w:r>
      <w:r>
        <w:t>е</w:t>
      </w:r>
      <w:r>
        <w:t>ских линий задержек для пьезоэлектрических кристаллов и некоторые практ</w:t>
      </w:r>
      <w:r>
        <w:t>и</w:t>
      </w:r>
      <w:r>
        <w:t>ческие наработки в области конструирования предлагаемого устройства, кот</w:t>
      </w:r>
      <w:r>
        <w:t>о</w:t>
      </w:r>
      <w:r>
        <w:t>рые были использованы в настоящем дипломном проекте. Таким образом, в</w:t>
      </w:r>
      <w:r>
        <w:t>ы</w:t>
      </w:r>
      <w:r>
        <w:t>полненные теоретические расчеты характеристик и параметров устройства б</w:t>
      </w:r>
      <w:r>
        <w:t>у</w:t>
      </w:r>
      <w:r>
        <w:t>дут отличаться от практических значений. Как указывается в литературе, то</w:t>
      </w:r>
      <w:r>
        <w:t>ч</w:t>
      </w:r>
      <w:r>
        <w:t>ность расчета будет невысокой, хотя и иметь один и тот же порядок.</w:t>
      </w:r>
    </w:p>
    <w:p w:rsidR="007562B2" w:rsidRDefault="007562B2">
      <w:r>
        <w:t>Представим основные технические характеристики и параметры разраб</w:t>
      </w:r>
      <w:r>
        <w:t>о</w:t>
      </w:r>
      <w:r>
        <w:t>танного устройства в табл. 4.1. Из представленных параметров рабочая частота и полоса частот заданы техническим заданием, остальные параметры – рассч</w:t>
      </w:r>
      <w:r>
        <w:t>и</w:t>
      </w:r>
      <w:r>
        <w:t>таны в проекте.</w:t>
      </w:r>
    </w:p>
    <w:p w:rsidR="007562B2" w:rsidRDefault="007562B2">
      <w:pPr>
        <w:jc w:val="right"/>
      </w:pPr>
      <w:r>
        <w:rPr>
          <w:bCs/>
        </w:rPr>
        <w:t>Таблица 4.1.</w:t>
      </w:r>
    </w:p>
    <w:p w:rsidR="007562B2" w:rsidRDefault="007562B2">
      <w:pPr>
        <w:pStyle w:val="a4"/>
        <w:tabs>
          <w:tab w:val="clear" w:pos="-2340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характеристики и параметры проектируемого устро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ства.</w:t>
      </w:r>
    </w:p>
    <w:tbl>
      <w:tblPr>
        <w:tblW w:w="4380" w:type="pct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980"/>
        <w:gridCol w:w="3111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 и параметры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Значения характеристик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 параме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Рабочая частота 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 МГц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Полоса частот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7,2 МГц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Максимальная длительность импульса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мкс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Время интегрирования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 мкс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Информационная емкость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Выходное напряжение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 В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Внутренние потери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-89 дБ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sz w:val="24"/>
                </w:rPr>
                <w:t>0,5 кг</w:t>
              </w:r>
            </w:smartTag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Объем аппаратуры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0,45∙10</w:t>
            </w:r>
            <w:r>
              <w:rPr>
                <w:sz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 м3"/>
              </w:smartTagPr>
              <w:r>
                <w:rPr>
                  <w:sz w:val="24"/>
                  <w:vertAlign w:val="superscript"/>
                </w:rPr>
                <w:t xml:space="preserve">3 </w:t>
              </w:r>
              <w:r>
                <w:rPr>
                  <w:sz w:val="24"/>
                </w:rPr>
                <w:t>м</w:t>
              </w:r>
              <w:r>
                <w:rPr>
                  <w:sz w:val="24"/>
                  <w:vertAlign w:val="superscript"/>
                </w:rPr>
                <w:t>3</w:t>
              </w:r>
            </w:smartTag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5" w:type="pct"/>
            <w:vAlign w:val="center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Время безотказной работы</w:t>
            </w:r>
          </w:p>
        </w:tc>
        <w:tc>
          <w:tcPr>
            <w:tcW w:w="18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82 750 ч</w:t>
            </w:r>
          </w:p>
        </w:tc>
      </w:tr>
    </w:tbl>
    <w:p w:rsidR="007562B2" w:rsidRDefault="007562B2"/>
    <w:p w:rsidR="007562B2" w:rsidRDefault="007562B2">
      <w:pPr>
        <w:pStyle w:val="2"/>
        <w:spacing w:after="0"/>
      </w:pPr>
      <w:bookmarkStart w:id="50" w:name="_Toc89169516"/>
      <w:bookmarkStart w:id="51" w:name="_Toc89170684"/>
      <w:bookmarkStart w:id="52" w:name="_Toc89170742"/>
      <w:bookmarkStart w:id="53" w:name="_Toc99193594"/>
      <w:r>
        <w:t>4.3. Обоснование выбора аналога для сравнения</w:t>
      </w:r>
      <w:bookmarkEnd w:id="50"/>
      <w:bookmarkEnd w:id="51"/>
      <w:bookmarkEnd w:id="52"/>
      <w:bookmarkEnd w:id="53"/>
    </w:p>
    <w:p w:rsidR="007562B2" w:rsidRDefault="007562B2"/>
    <w:p w:rsidR="007562B2" w:rsidRDefault="007562B2">
      <w:r>
        <w:t>Вычисление корреляционной функции технически может быть осущест</w:t>
      </w:r>
      <w:r>
        <w:t>в</w:t>
      </w:r>
      <w:r>
        <w:t>лено с помощью аналоговой обработки входных сигналов, в которой все вхо</w:t>
      </w:r>
      <w:r>
        <w:t>д</w:t>
      </w:r>
      <w:r>
        <w:t>ные промеж</w:t>
      </w:r>
      <w:r>
        <w:t>у</w:t>
      </w:r>
      <w:r>
        <w:t>точные сигналы в устройстве на ходе преобразования сохраняет непрерывный хара</w:t>
      </w:r>
      <w:r>
        <w:t>к</w:t>
      </w:r>
      <w:r>
        <w:t xml:space="preserve">тер, либо с помощью цифровой, где все исходные данные </w:t>
      </w:r>
      <w:r>
        <w:lastRenderedPageBreak/>
        <w:t>предварительно преобразуются в цифровой код и весь расчет выполняется в цифровой форме. Имеющиеся виды обработки сигналов предопределили поя</w:t>
      </w:r>
      <w:r>
        <w:t>в</w:t>
      </w:r>
      <w:r>
        <w:t>ление двух принципиально различных видов устройств, выполняющих одну и ту же задачу: аналоговых и цифровых.</w:t>
      </w:r>
    </w:p>
    <w:p w:rsidR="007562B2" w:rsidRDefault="007562B2">
      <w:r>
        <w:t>Существующие аналоговые корреляционные устройства состоят из большого числа отдельных блоков, выполняющих определенные функции, и имеющие вполне конкретные электрические схемы, например: блоки соглас</w:t>
      </w:r>
      <w:r>
        <w:t>о</w:t>
      </w:r>
      <w:r>
        <w:t>вания, центрирующие филь</w:t>
      </w:r>
      <w:r>
        <w:t>т</w:t>
      </w:r>
      <w:r>
        <w:t>ры, блоки запаздывания, блоки умножения, схемы суммирования, возведения в ква</w:t>
      </w:r>
      <w:r>
        <w:t>д</w:t>
      </w:r>
      <w:r>
        <w:t>рат, а также коммутаторы, блоки усреднения и накопления и другие (рис.4.1).</w:t>
      </w:r>
    </w:p>
    <w:p w:rsidR="007562B2" w:rsidRDefault="007562B2"/>
    <w:p w:rsidR="007562B2" w:rsidRDefault="007562B2">
      <w:pPr>
        <w:ind w:firstLine="0"/>
        <w:jc w:val="center"/>
        <w:rPr>
          <w:b/>
          <w:bCs/>
        </w:rPr>
      </w:pPr>
      <w:r>
        <w:object w:dxaOrig="9604" w:dyaOrig="3090">
          <v:shape id="_x0000_i1073" type="#_x0000_t75" style="width:480.15pt;height:154.45pt" o:ole="">
            <v:imagedata r:id="rId102" o:title=""/>
          </v:shape>
          <o:OLEObject Type="Embed" ProgID="Visio.Drawing.11" ShapeID="_x0000_i1073" DrawAspect="Content" ObjectID="_1633867640" r:id="rId103"/>
        </w:object>
      </w:r>
      <w:r>
        <w:t>Рис. 4.1. Структурная схема аналоговых корреляционных устройств обработки и</w:t>
      </w:r>
      <w:r>
        <w:t>н</w:t>
      </w:r>
      <w:r>
        <w:t>формации</w:t>
      </w:r>
    </w:p>
    <w:p w:rsidR="007562B2" w:rsidRDefault="007562B2"/>
    <w:p w:rsidR="007562B2" w:rsidRDefault="007562B2">
      <w:pPr>
        <w:pStyle w:val="a4"/>
        <w:tabs>
          <w:tab w:val="clear" w:pos="-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Цифровые устройства устроены совершенно по другим принципам и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стоят из нескольких устройств: устройство ввода-вывода, памяти и центральн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процессора,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торые представляют собой отдельные блоки, узлы и платы, собранные на элементах микроэлектроники. Примером 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ких устройств может служить персональная ЭВМ (рис.4.2).</w:t>
      </w:r>
    </w:p>
    <w:p w:rsidR="007562B2" w:rsidRDefault="007562B2"/>
    <w:p w:rsidR="007562B2" w:rsidRDefault="007562B2">
      <w:pPr>
        <w:ind w:firstLine="0"/>
        <w:jc w:val="center"/>
        <w:rPr>
          <w:b/>
          <w:bCs/>
        </w:rPr>
      </w:pPr>
      <w:r>
        <w:object w:dxaOrig="9676" w:dyaOrig="3029">
          <v:shape id="_x0000_i1074" type="#_x0000_t75" style="width:483.65pt;height:151.45pt" o:ole="">
            <v:imagedata r:id="rId104" o:title=""/>
          </v:shape>
          <o:OLEObject Type="Embed" ProgID="Visio.Drawing.11" ShapeID="_x0000_i1074" DrawAspect="Content" ObjectID="_1633867641" r:id="rId105"/>
        </w:object>
      </w:r>
      <w:r>
        <w:t>Рис. 4.2. Структурная схема цифровых корреляционных устройств обр</w:t>
      </w:r>
      <w:r>
        <w:t>а</w:t>
      </w:r>
      <w:r>
        <w:t>ботки инфо</w:t>
      </w:r>
      <w:r>
        <w:t>р</w:t>
      </w:r>
      <w:r>
        <w:t>мации</w:t>
      </w:r>
    </w:p>
    <w:p w:rsidR="007562B2" w:rsidRDefault="007562B2"/>
    <w:p w:rsidR="007562B2" w:rsidRDefault="007562B2">
      <w:r>
        <w:t>Сравнивая аналоговые и цифровые устройства, можно отметить ряд д</w:t>
      </w:r>
      <w:r>
        <w:t>о</w:t>
      </w:r>
      <w:r>
        <w:t>стоинств и недостатков, характерных для каждого из них. Эти достоинства и недостатки пред</w:t>
      </w:r>
      <w:r>
        <w:t>о</w:t>
      </w:r>
      <w:r>
        <w:t xml:space="preserve">пределяют выбор и применение этих устройств. </w:t>
      </w:r>
    </w:p>
    <w:p w:rsidR="007562B2" w:rsidRDefault="007562B2">
      <w:r>
        <w:lastRenderedPageBreak/>
        <w:t>Аналоговые устройства функционируют без вмешательства человека (а</w:t>
      </w:r>
      <w:r>
        <w:t>в</w:t>
      </w:r>
      <w:r>
        <w:t>томат</w:t>
      </w:r>
      <w:r>
        <w:t>и</w:t>
      </w:r>
      <w:r>
        <w:t>чески), тогда как ЭВМ требует оператора и программного обеспечения. Возможны варианты создания специальных цифровых автоматических корр</w:t>
      </w:r>
      <w:r>
        <w:t>е</w:t>
      </w:r>
      <w:r>
        <w:t>ляционных ус</w:t>
      </w:r>
      <w:r>
        <w:t>т</w:t>
      </w:r>
      <w:r>
        <w:t>ройств, выполняющих необходимые задачи, но стоимость такого устройства без сомнения б</w:t>
      </w:r>
      <w:r>
        <w:t>у</w:t>
      </w:r>
      <w:r>
        <w:t>дет очень высокой.</w:t>
      </w:r>
    </w:p>
    <w:p w:rsidR="007562B2" w:rsidRDefault="007562B2">
      <w:r>
        <w:t>Имеющиеся сегодня устройства обработки информации имеют достато</w:t>
      </w:r>
      <w:r>
        <w:t>ч</w:t>
      </w:r>
      <w:r>
        <w:t>но большие габариты и массу. Для аналоговых устройств характерна низкая стоимость, несмотря на большое количество электронных элементов, из кот</w:t>
      </w:r>
      <w:r>
        <w:t>о</w:t>
      </w:r>
      <w:r>
        <w:t>рых они состоят, и сравнительно низкую потребляемую мощность. Для цифр</w:t>
      </w:r>
      <w:r>
        <w:t>о</w:t>
      </w:r>
      <w:r>
        <w:t>вых устройств необходимо постоянное питание всех его блоков и узлов, и как результат – потребление большой мощности.</w:t>
      </w:r>
    </w:p>
    <w:p w:rsidR="007562B2" w:rsidRDefault="007562B2">
      <w:r>
        <w:t>Принципиально новое устройство предлагается в данном проекте. Хотя оно и относится к классу аналоговых устройств, но реализовано на совершенно иных физических принципах. Благодаря чему имеет ряд существенных дост</w:t>
      </w:r>
      <w:r>
        <w:t>о</w:t>
      </w:r>
      <w:r>
        <w:t>инств по сравнению с существующими ныне устройствами обработки инфо</w:t>
      </w:r>
      <w:r>
        <w:t>р</w:t>
      </w:r>
      <w:r>
        <w:t>мации как аналоговых, так и цифровых.</w:t>
      </w:r>
    </w:p>
    <w:p w:rsidR="007562B2" w:rsidRDefault="007562B2">
      <w:r>
        <w:t>В табл. 4.2. приведена сравнительная характеристика проектируемого устройс</w:t>
      </w:r>
      <w:r>
        <w:t>т</w:t>
      </w:r>
      <w:r>
        <w:t>ва с обобщенным аналоговым устройством корреляционной обработки сигналов и персональной ЭВМ.</w:t>
      </w:r>
    </w:p>
    <w:p w:rsidR="007562B2" w:rsidRDefault="007562B2">
      <w:pPr>
        <w:jc w:val="right"/>
        <w:rPr>
          <w:bCs/>
        </w:rPr>
      </w:pPr>
      <w:r>
        <w:rPr>
          <w:bCs/>
        </w:rPr>
        <w:t>Таблица 4.2.</w:t>
      </w:r>
    </w:p>
    <w:p w:rsidR="007562B2" w:rsidRDefault="007562B2">
      <w:pPr>
        <w:ind w:firstLine="0"/>
        <w:jc w:val="center"/>
        <w:rPr>
          <w:bCs/>
        </w:rPr>
      </w:pPr>
      <w:r>
        <w:rPr>
          <w:bCs/>
        </w:rPr>
        <w:t>Сравнительная характеристика ЭВМ, аналоговых корреляционных</w:t>
      </w:r>
    </w:p>
    <w:p w:rsidR="007562B2" w:rsidRDefault="007562B2">
      <w:pPr>
        <w:ind w:firstLine="0"/>
        <w:jc w:val="center"/>
        <w:rPr>
          <w:b/>
          <w:bCs/>
        </w:rPr>
      </w:pPr>
      <w:r>
        <w:rPr>
          <w:bCs/>
        </w:rPr>
        <w:t>и пр</w:t>
      </w:r>
      <w:r>
        <w:rPr>
          <w:bCs/>
        </w:rPr>
        <w:t>о</w:t>
      </w:r>
      <w:r>
        <w:rPr>
          <w:bCs/>
        </w:rPr>
        <w:t>ектируемого устройств</w:t>
      </w:r>
    </w:p>
    <w:tbl>
      <w:tblPr>
        <w:tblW w:w="4931" w:type="pct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47"/>
        <w:gridCol w:w="2247"/>
        <w:gridCol w:w="1947"/>
        <w:gridCol w:w="1936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  <w:vAlign w:val="center"/>
          </w:tcPr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п/п</w:t>
            </w:r>
          </w:p>
        </w:tc>
        <w:tc>
          <w:tcPr>
            <w:tcW w:w="1568" w:type="pct"/>
            <w:vAlign w:val="center"/>
          </w:tcPr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Параметры и</w:t>
            </w:r>
          </w:p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характер</w:t>
            </w:r>
            <w:r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стики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IBM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PC</w:t>
            </w:r>
          </w:p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bCs/>
                <w:sz w:val="24"/>
                <w:lang w:val="en-US"/>
              </w:rPr>
              <w:t>INTEL</w:t>
            </w:r>
            <w:r>
              <w:rPr>
                <w:bCs/>
                <w:sz w:val="24"/>
              </w:rPr>
              <w:t xml:space="preserve"> 80486 </w:t>
            </w:r>
            <w:r>
              <w:rPr>
                <w:bCs/>
                <w:sz w:val="24"/>
                <w:lang w:val="en-US"/>
              </w:rPr>
              <w:t>DX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Обобщенное</w:t>
            </w:r>
          </w:p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аналоговое</w:t>
            </w:r>
          </w:p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устро</w:t>
            </w:r>
            <w:r>
              <w:rPr>
                <w:bCs/>
                <w:sz w:val="24"/>
              </w:rPr>
              <w:t>й</w:t>
            </w:r>
            <w:r>
              <w:rPr>
                <w:bCs/>
                <w:sz w:val="24"/>
              </w:rPr>
              <w:t>ство</w:t>
            </w:r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Проектируемое</w:t>
            </w:r>
          </w:p>
          <w:p w:rsidR="007562B2" w:rsidRDefault="007562B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ус</w:t>
            </w:r>
            <w:r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ройство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Необходимость операт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Быстродействие 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Высокое</w:t>
            </w:r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Высокое</w:t>
            </w:r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Высокое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>
                <w:rPr>
                  <w:sz w:val="24"/>
                </w:rPr>
                <w:t>12 кг</w:t>
              </w:r>
            </w:smartTag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sz w:val="24"/>
                </w:rPr>
                <w:t>5 кг</w:t>
              </w:r>
            </w:smartTag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sz w:val="24"/>
                </w:rPr>
                <w:t>0,5 кг</w:t>
              </w:r>
            </w:smartTag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Объем аппарат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74∙10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12∙10</w:t>
            </w:r>
            <w:r>
              <w:rPr>
                <w:sz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 м3"/>
              </w:smartTagPr>
              <w:r>
                <w:rPr>
                  <w:sz w:val="24"/>
                  <w:vertAlign w:val="superscript"/>
                </w:rPr>
                <w:t xml:space="preserve">3 </w:t>
              </w:r>
              <w:r>
                <w:rPr>
                  <w:sz w:val="24"/>
                </w:rPr>
                <w:t>м</w:t>
              </w:r>
              <w:r>
                <w:rPr>
                  <w:sz w:val="24"/>
                  <w:vertAlign w:val="superscript"/>
                </w:rPr>
                <w:t>3</w:t>
              </w:r>
            </w:smartTag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0,45∙10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Потребляемая мо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ность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Малая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ментов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Надежность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20 000 ч.</w:t>
            </w:r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7 800 ч.</w:t>
            </w:r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82 750 ч.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8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Ориентировочная цена</w:t>
            </w:r>
          </w:p>
        </w:tc>
        <w:tc>
          <w:tcPr>
            <w:tcW w:w="1156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7200 руб.</w:t>
            </w:r>
          </w:p>
        </w:tc>
        <w:tc>
          <w:tcPr>
            <w:tcW w:w="1002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1500 руб.</w:t>
            </w:r>
          </w:p>
        </w:tc>
        <w:tc>
          <w:tcPr>
            <w:tcW w:w="99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562B2" w:rsidRDefault="007562B2">
      <w:pPr>
        <w:rPr>
          <w:bCs/>
        </w:rPr>
      </w:pPr>
    </w:p>
    <w:p w:rsidR="007562B2" w:rsidRDefault="007562B2">
      <w:r>
        <w:t>В отличие от аналоговых устройств обработки информации, современные ци</w:t>
      </w:r>
      <w:r>
        <w:t>ф</w:t>
      </w:r>
      <w:r>
        <w:t>ровые устройства имеют лучшие быстродействие и точность, но уступают аналоговым устройствам в массе, объеме аппаратуры, потребляемой мощности и надежности. Однако, как свидетельствуют различные источники, эти нед</w:t>
      </w:r>
      <w:r>
        <w:t>о</w:t>
      </w:r>
      <w:r>
        <w:t>статки цифровых устройств будут устранены в ближайшем будущем.</w:t>
      </w:r>
    </w:p>
    <w:p w:rsidR="007562B2" w:rsidRDefault="007562B2">
      <w:r>
        <w:t>Выбирая базу для сравнения, необходимо отметить, что с технических позиций сопоставление существующих аналоговых корреляционных устройств и пре</w:t>
      </w:r>
      <w:r>
        <w:t>д</w:t>
      </w:r>
      <w:r>
        <w:t>лагаемой разработки будет более корректным из-за сходного механизма обработки сигналов, тогда как сопоставление с цифровыми устройствами обр</w:t>
      </w:r>
      <w:r>
        <w:t>а</w:t>
      </w:r>
      <w:r>
        <w:t>ботки информации имеет лишь общий характер. В то же время отсутствие в л</w:t>
      </w:r>
      <w:r>
        <w:t>и</w:t>
      </w:r>
      <w:r>
        <w:t xml:space="preserve">тературе сведений о технических характеристиках аналоговых и цифровых </w:t>
      </w:r>
      <w:r>
        <w:lastRenderedPageBreak/>
        <w:t>устройств дает возможность их сопоставления только по обобщенным и и</w:t>
      </w:r>
      <w:r>
        <w:t>з</w:t>
      </w:r>
      <w:r>
        <w:t>вестным п</w:t>
      </w:r>
      <w:r>
        <w:t>а</w:t>
      </w:r>
      <w:r>
        <w:t>раметрам.</w:t>
      </w:r>
    </w:p>
    <w:p w:rsidR="007562B2" w:rsidRDefault="007562B2">
      <w:pPr>
        <w:pStyle w:val="2"/>
        <w:spacing w:after="0"/>
      </w:pPr>
      <w:bookmarkStart w:id="54" w:name="_Toc89169518"/>
      <w:bookmarkStart w:id="55" w:name="_Toc89170686"/>
      <w:bookmarkStart w:id="56" w:name="_Toc89170744"/>
    </w:p>
    <w:p w:rsidR="007562B2" w:rsidRDefault="007562B2">
      <w:pPr>
        <w:pStyle w:val="2"/>
        <w:spacing w:after="0"/>
      </w:pPr>
      <w:bookmarkStart w:id="57" w:name="_Toc99193595"/>
      <w:r>
        <w:t>4.4. Обоснование выбора критериев сравнения разрабатываемого устро</w:t>
      </w:r>
      <w:r>
        <w:t>й</w:t>
      </w:r>
      <w:r>
        <w:t>ства с аналогом</w:t>
      </w:r>
      <w:bookmarkEnd w:id="54"/>
      <w:bookmarkEnd w:id="55"/>
      <w:bookmarkEnd w:id="56"/>
      <w:bookmarkEnd w:id="57"/>
    </w:p>
    <w:p w:rsidR="007562B2" w:rsidRDefault="007562B2"/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При сопоставлении аналога и разработки необходимо выбрать наиболее важные и значимые критерии с позиций конечного потребителя. Они должны быть с одной стороны значимыми и характеризовать аналог и разработку, с другой стороны должны иметь количественную оценку и с третьей стороны должны быть некоррелиру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мые.</w:t>
      </w:r>
    </w:p>
    <w:p w:rsidR="007562B2" w:rsidRDefault="007562B2">
      <w:pPr>
        <w:tabs>
          <w:tab w:val="left" w:pos="-2340"/>
        </w:tabs>
      </w:pPr>
      <w:r>
        <w:rPr>
          <w:rFonts w:ascii="Times New Roman CYR" w:hAnsi="Times New Roman CYR"/>
        </w:rPr>
        <w:t xml:space="preserve">Исходя из назначения разработки – </w:t>
      </w:r>
      <w:r>
        <w:t>вычисление свертки сигналов при решении задач управления и идентификации, наиболее важными и значимыми параметрами я</w:t>
      </w:r>
      <w:r>
        <w:t>в</w:t>
      </w:r>
      <w:r>
        <w:t>ляются: быстродействие и точность. Высокое быстродействие позволяет решать указанные задачи в режиме реального времени, а высокая точность исключить технические ошибки. Эти параметры являются значим</w:t>
      </w:r>
      <w:r>
        <w:t>ы</w:t>
      </w:r>
      <w:r>
        <w:t>ми, имеют количественную оценку и независимы.</w:t>
      </w:r>
    </w:p>
    <w:p w:rsidR="007562B2" w:rsidRDefault="007562B2">
      <w:pPr>
        <w:tabs>
          <w:tab w:val="left" w:pos="-2340"/>
        </w:tabs>
      </w:pPr>
      <w:r>
        <w:t>Важным параметром в сопоставлении является такая обобщенная хара</w:t>
      </w:r>
      <w:r>
        <w:t>к</w:t>
      </w:r>
      <w:r>
        <w:t>терист</w:t>
      </w:r>
      <w:r>
        <w:t>и</w:t>
      </w:r>
      <w:r>
        <w:t>ка радиоэлектронной аппаратуры (РЭА) как надежность. Этот параметр определяется временем наработки на отказ и должен соответствовать требов</w:t>
      </w:r>
      <w:r>
        <w:t>а</w:t>
      </w:r>
      <w:r>
        <w:t>ниям области прим</w:t>
      </w:r>
      <w:r>
        <w:t>е</w:t>
      </w:r>
      <w:r>
        <w:t>нения. Третий критерий для проведения сравнения имеет количественную оценку и н</w:t>
      </w:r>
      <w:r>
        <w:t>е</w:t>
      </w:r>
      <w:r>
        <w:t>зависим. Им является надежность.</w:t>
      </w:r>
    </w:p>
    <w:p w:rsidR="007562B2" w:rsidRDefault="007562B2">
      <w:pPr>
        <w:tabs>
          <w:tab w:val="left" w:pos="-2340"/>
        </w:tabs>
      </w:pPr>
      <w:r>
        <w:t>Исходя из наиболее вероятных областей применения устройств вычисл</w:t>
      </w:r>
      <w:r>
        <w:t>е</w:t>
      </w:r>
      <w:r>
        <w:t>ния свертки сигналов – различные системы локации, автоматические системы стабилизации, управления полетом и наведения, автоматические измерител</w:t>
      </w:r>
      <w:r>
        <w:t>ь</w:t>
      </w:r>
      <w:r>
        <w:t>ные корреляцио</w:t>
      </w:r>
      <w:r>
        <w:t>н</w:t>
      </w:r>
      <w:r>
        <w:t>ные системы и др. – другими важными критериями сравнения могут стать весогабаритные и ресурсопотребляющие параметры. Использов</w:t>
      </w:r>
      <w:r>
        <w:t>а</w:t>
      </w:r>
      <w:r>
        <w:t>ние этих параметров соответствует и современным требованиям, предъявля</w:t>
      </w:r>
      <w:r>
        <w:t>е</w:t>
      </w:r>
      <w:r>
        <w:t>мым к радиоэлектронной апп</w:t>
      </w:r>
      <w:r>
        <w:t>а</w:t>
      </w:r>
      <w:r>
        <w:t>ратуре. Эти параметры имеют количественную оценку: масса, объем аппаратуры и потребляемая мощность. Однако можно в</w:t>
      </w:r>
      <w:r>
        <w:t>ы</w:t>
      </w:r>
      <w:r>
        <w:t>явить некую зависимость между массой и объемом аппаратуры с одной стор</w:t>
      </w:r>
      <w:r>
        <w:t>о</w:t>
      </w:r>
      <w:r>
        <w:t>ны и потребляемой мощностью с другой.</w:t>
      </w:r>
    </w:p>
    <w:p w:rsidR="007562B2" w:rsidRDefault="007562B2">
      <w:r>
        <w:t>Предлагаемое устройство не имеет ярко выраженных качественных п</w:t>
      </w:r>
      <w:r>
        <w:t>о</w:t>
      </w:r>
      <w:r>
        <w:t>требительских свойств, но имеет важное другое свойство: оно выполняет зад</w:t>
      </w:r>
      <w:r>
        <w:t>а</w:t>
      </w:r>
      <w:r>
        <w:t>чу вычисления корреляционной функции двух сигналов в автоматическом р</w:t>
      </w:r>
      <w:r>
        <w:t>е</w:t>
      </w:r>
      <w:r>
        <w:t xml:space="preserve">жиме. </w:t>
      </w:r>
      <w:bookmarkStart w:id="58" w:name="_Toc89169519"/>
      <w:bookmarkStart w:id="59" w:name="_Toc89170687"/>
      <w:bookmarkStart w:id="60" w:name="_Toc89170745"/>
      <w:r>
        <w:t>В сравнении с цифровыми устройствами обработки сигналов, это сво</w:t>
      </w:r>
      <w:r>
        <w:t>й</w:t>
      </w:r>
      <w:r>
        <w:t>ство разработки имеет статус новых возможностей, однако в сравнении с ан</w:t>
      </w:r>
      <w:r>
        <w:t>а</w:t>
      </w:r>
      <w:r>
        <w:t>логовыми устройствами, это не являе</w:t>
      </w:r>
      <w:r>
        <w:t>т</w:t>
      </w:r>
      <w:r>
        <w:t>ся новшеством.</w:t>
      </w:r>
    </w:p>
    <w:p w:rsidR="007562B2" w:rsidRDefault="007562B2">
      <w:r>
        <w:t>С учетом выбранной в п.4.3 базы для сравнения – обобщенные аналог</w:t>
      </w:r>
      <w:r>
        <w:t>о</w:t>
      </w:r>
      <w:r>
        <w:t>вые устройства обработки информации - критерии для сравнения с предлага</w:t>
      </w:r>
      <w:r>
        <w:t>е</w:t>
      </w:r>
      <w:r>
        <w:t>мой разрабо</w:t>
      </w:r>
      <w:r>
        <w:t>т</w:t>
      </w:r>
      <w:r>
        <w:t>кой будут следующие, представленные в табл. 4.3.</w:t>
      </w:r>
    </w:p>
    <w:p w:rsidR="007562B2" w:rsidRDefault="007562B2">
      <w:pPr>
        <w:tabs>
          <w:tab w:val="left" w:pos="-2340"/>
        </w:tabs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br w:type="page"/>
      </w:r>
      <w:r>
        <w:rPr>
          <w:rFonts w:ascii="Times New Roman CYR" w:hAnsi="Times New Roman CYR"/>
        </w:rPr>
        <w:lastRenderedPageBreak/>
        <w:t>Таблица 4.3</w:t>
      </w:r>
    </w:p>
    <w:p w:rsidR="007562B2" w:rsidRDefault="007562B2">
      <w:pPr>
        <w:tabs>
          <w:tab w:val="left" w:pos="-2340"/>
        </w:tabs>
        <w:ind w:firstLine="0"/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Перечень критериев для сравнения разработки и аналога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2731"/>
        <w:gridCol w:w="3504"/>
      </w:tblGrid>
      <w:tr w:rsidR="007562B2">
        <w:trPr>
          <w:cantSplit/>
          <w:jc w:val="center"/>
        </w:trPr>
        <w:tc>
          <w:tcPr>
            <w:tcW w:w="183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Количественные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пар</w:t>
            </w:r>
            <w:r>
              <w:rPr>
                <w:rFonts w:ascii="Times New Roman CYR" w:hAnsi="Times New Roman CYR"/>
                <w:sz w:val="24"/>
              </w:rPr>
              <w:t>а</w:t>
            </w:r>
            <w:r>
              <w:rPr>
                <w:rFonts w:ascii="Times New Roman CYR" w:hAnsi="Times New Roman CYR"/>
                <w:sz w:val="24"/>
              </w:rPr>
              <w:t>метры</w:t>
            </w:r>
          </w:p>
        </w:tc>
        <w:tc>
          <w:tcPr>
            <w:tcW w:w="13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Качественные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параме</w:t>
            </w:r>
            <w:r>
              <w:rPr>
                <w:rFonts w:ascii="Times New Roman CYR" w:hAnsi="Times New Roman CYR"/>
                <w:sz w:val="24"/>
              </w:rPr>
              <w:t>т</w:t>
            </w:r>
            <w:r>
              <w:rPr>
                <w:rFonts w:ascii="Times New Roman CYR" w:hAnsi="Times New Roman CYR"/>
                <w:sz w:val="24"/>
              </w:rPr>
              <w:t>ры</w:t>
            </w:r>
          </w:p>
        </w:tc>
        <w:tc>
          <w:tcPr>
            <w:tcW w:w="1779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Новые возможн</w:t>
            </w:r>
            <w:r>
              <w:rPr>
                <w:rFonts w:ascii="Times New Roman CYR" w:hAnsi="Times New Roman CYR"/>
                <w:sz w:val="24"/>
              </w:rPr>
              <w:t>о</w:t>
            </w:r>
            <w:r>
              <w:rPr>
                <w:rFonts w:ascii="Times New Roman CYR" w:hAnsi="Times New Roman CYR"/>
                <w:sz w:val="24"/>
              </w:rPr>
              <w:t>сти</w:t>
            </w:r>
          </w:p>
        </w:tc>
      </w:tr>
      <w:tr w:rsidR="007562B2">
        <w:trPr>
          <w:cantSplit/>
          <w:jc w:val="center"/>
        </w:trPr>
        <w:tc>
          <w:tcPr>
            <w:tcW w:w="1836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 Быстродействие</w:t>
            </w:r>
          </w:p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 Точность</w:t>
            </w:r>
          </w:p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 Надежность</w:t>
            </w:r>
          </w:p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4. Масса </w:t>
            </w:r>
          </w:p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5. Объем аппарат</w:t>
            </w:r>
            <w:r>
              <w:rPr>
                <w:rFonts w:ascii="Times New Roman CYR" w:hAnsi="Times New Roman CYR"/>
                <w:sz w:val="24"/>
              </w:rPr>
              <w:t>у</w:t>
            </w:r>
            <w:r>
              <w:rPr>
                <w:rFonts w:ascii="Times New Roman CYR" w:hAnsi="Times New Roman CYR"/>
                <w:sz w:val="24"/>
              </w:rPr>
              <w:t>ры</w:t>
            </w:r>
          </w:p>
        </w:tc>
        <w:tc>
          <w:tcPr>
            <w:tcW w:w="13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779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</w:tbl>
    <w:p w:rsidR="007562B2" w:rsidRDefault="007562B2">
      <w:pPr>
        <w:pStyle w:val="2"/>
        <w:spacing w:after="0"/>
      </w:pPr>
    </w:p>
    <w:p w:rsidR="007562B2" w:rsidRDefault="007562B2">
      <w:pPr>
        <w:pStyle w:val="2"/>
        <w:spacing w:after="0"/>
      </w:pPr>
      <w:bookmarkStart w:id="61" w:name="_Toc99193596"/>
      <w:r>
        <w:t>4.5. Стоимостная оценка разработки</w:t>
      </w:r>
      <w:bookmarkEnd w:id="58"/>
      <w:bookmarkEnd w:id="59"/>
      <w:bookmarkEnd w:id="60"/>
      <w:bookmarkEnd w:id="61"/>
    </w:p>
    <w:p w:rsidR="007562B2" w:rsidRDefault="007562B2"/>
    <w:p w:rsidR="007562B2" w:rsidRDefault="007562B2">
      <w:r>
        <w:t>Стоимостная оценка разработки может быть осуществлена лишь прибл</w:t>
      </w:r>
      <w:r>
        <w:t>и</w:t>
      </w:r>
      <w:r>
        <w:t>зител</w:t>
      </w:r>
      <w:r>
        <w:t>ь</w:t>
      </w:r>
      <w:r>
        <w:t>но ввиду использования совершенно новых технологий при производстве предлага</w:t>
      </w:r>
      <w:r>
        <w:t>е</w:t>
      </w:r>
      <w:r>
        <w:t>мого устройства. Наряду с освоенными технологиями изготовления радиоэлектронных устройств, разработка потребует применение и освоение технологий искусстве</w:t>
      </w:r>
      <w:r>
        <w:t>н</w:t>
      </w:r>
      <w:r>
        <w:t>ного выращивания пьезоэлектрических кристаллов и их обработки и технологий фотолитографии. При этом стоимостная оценка разр</w:t>
      </w:r>
      <w:r>
        <w:t>а</w:t>
      </w:r>
      <w:r>
        <w:t>ботки потребует разбиения всех затрат при изготовлении на следующие экон</w:t>
      </w:r>
      <w:r>
        <w:t>о</w:t>
      </w:r>
      <w:r>
        <w:t>мические составляющие: затраты на с</w:t>
      </w:r>
      <w:r>
        <w:t>ы</w:t>
      </w:r>
      <w:r>
        <w:t>рье и основные материалы, затраты на покупные изделия, основная заработная плата производственных рабочих, накладные расходы, внепроизводственные расходы.</w:t>
      </w:r>
    </w:p>
    <w:p w:rsidR="007562B2" w:rsidRDefault="007562B2">
      <w:r>
        <w:t>Калькуляцию каждой составляющей затрат производится на основе сп</w:t>
      </w:r>
      <w:r>
        <w:t>е</w:t>
      </w:r>
      <w:r>
        <w:t>цификаций комплекта конструкторской документации, прилагаемой к насто</w:t>
      </w:r>
      <w:r>
        <w:t>я</w:t>
      </w:r>
      <w:r>
        <w:t>щему дипломному проекту. Цены, тарифы и нормативы, использованные в ра</w:t>
      </w:r>
      <w:r>
        <w:t>с</w:t>
      </w:r>
      <w:r>
        <w:t>четах, взяты усре</w:t>
      </w:r>
      <w:r>
        <w:t>д</w:t>
      </w:r>
      <w:r>
        <w:t>нено в целом по отрасли «Машиностроение». Транспортно-заготовительные расходы приняты в размере 10 % от стоимости сырья и осно</w:t>
      </w:r>
      <w:r>
        <w:t>в</w:t>
      </w:r>
      <w:r>
        <w:t>ных материалов (табл. 4.4).</w:t>
      </w:r>
    </w:p>
    <w:p w:rsidR="007562B2" w:rsidRDefault="007562B2"/>
    <w:p w:rsidR="007562B2" w:rsidRDefault="007562B2">
      <w:pPr>
        <w:jc w:val="right"/>
        <w:rPr>
          <w:b/>
        </w:rPr>
      </w:pPr>
      <w:r>
        <w:t>Таблица 4.4</w:t>
      </w:r>
    </w:p>
    <w:p w:rsidR="007562B2" w:rsidRDefault="007562B2">
      <w:pPr>
        <w:ind w:firstLine="0"/>
        <w:jc w:val="center"/>
        <w:rPr>
          <w:bCs/>
        </w:rPr>
      </w:pPr>
      <w:r>
        <w:rPr>
          <w:bCs/>
        </w:rPr>
        <w:t>Затраты на сырье и основные материалы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5"/>
        <w:gridCol w:w="1330"/>
        <w:gridCol w:w="1460"/>
        <w:gridCol w:w="1834"/>
        <w:gridCol w:w="1514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Материал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Единица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измер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/>
                <w:sz w:val="24"/>
                <w:szCs w:val="24"/>
              </w:rPr>
              <w:t>ния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Расход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на изд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/>
                <w:sz w:val="24"/>
                <w:szCs w:val="24"/>
              </w:rPr>
              <w:t>лие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Цена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за един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>цу, руб.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Сто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>мость,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Сталь 20ХА12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кг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0,5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12,00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=C2*D2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6,00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Реактопласт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кг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0,2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34,00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=C3*D3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6,80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Стеклотекстолит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кг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0,2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28,00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=C4*D4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5,60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Припой ПОС-40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кг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0,1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18,00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=C5*D5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1,80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Клей компаун</w:t>
            </w:r>
            <w:r>
              <w:rPr>
                <w:rFonts w:ascii="Times New Roman CYR" w:hAnsi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/>
                <w:sz w:val="24"/>
                <w:szCs w:val="24"/>
              </w:rPr>
              <w:t>ный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кг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0,1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180,00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=C6*D6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18,00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Флюс ФКСп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кг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0,1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24,00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=C7*D7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2,40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Провод МГТФ-1х0,8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0,60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=C8*D8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1,20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Провод МГТФ-1х0,2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1,5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1,10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=C9*D9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1,65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</w:rPr>
              <w:t>Лак УР-231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кг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0,1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12,00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=C10*D10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1,20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4" w:type="pct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Спирт</w:t>
            </w:r>
          </w:p>
        </w:tc>
        <w:tc>
          <w:tcPr>
            <w:tcW w:w="68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</w:t>
            </w:r>
          </w:p>
        </w:tc>
        <w:tc>
          <w:tcPr>
            <w:tcW w:w="753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0,3</w:t>
            </w:r>
          </w:p>
        </w:tc>
        <w:tc>
          <w:tcPr>
            <w:tcW w:w="946" w:type="pct"/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8,50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=C11*D11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2,55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19" w:type="pct"/>
            <w:gridSpan w:val="4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Хим. реактивы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32,00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19" w:type="pct"/>
            <w:gridSpan w:val="4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Транспортно-заготовительные расходы (10 %)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SUM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(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ABOVE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)*0,1 \# "#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 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##0,00" 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7,92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19" w:type="pct"/>
            <w:gridSpan w:val="4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Итого</w:t>
            </w:r>
          </w:p>
        </w:tc>
        <w:tc>
          <w:tcPr>
            <w:tcW w:w="781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b/>
                <w:noProof/>
                <w:sz w:val="24"/>
                <w:szCs w:val="24"/>
              </w:rPr>
              <w:t>87,12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fldChar w:fldCharType="end"/>
            </w:r>
          </w:p>
        </w:tc>
      </w:tr>
    </w:tbl>
    <w:p w:rsidR="007562B2" w:rsidRDefault="007562B2"/>
    <w:p w:rsidR="007562B2" w:rsidRDefault="007562B2">
      <w:r>
        <w:lastRenderedPageBreak/>
        <w:t>Наибольшую величину расходов на покупные изделия представляет кр</w:t>
      </w:r>
      <w:r>
        <w:t>и</w:t>
      </w:r>
      <w:r>
        <w:t>сталл подложки устройства, искусственно выращенного из пьезоэлектрическ</w:t>
      </w:r>
      <w:r>
        <w:t>о</w:t>
      </w:r>
      <w:r>
        <w:t>го материала ниобата лития (</w:t>
      </w:r>
      <w:r>
        <w:rPr>
          <w:rFonts w:ascii="Times New Roman CYR" w:hAnsi="Times New Roman CYR"/>
          <w:sz w:val="24"/>
          <w:szCs w:val="24"/>
          <w:lang w:val="en-US"/>
        </w:rPr>
        <w:t>LiNbO</w:t>
      </w:r>
      <w:r>
        <w:rPr>
          <w:rFonts w:ascii="Times New Roman CYR" w:hAnsi="Times New Roman CYR"/>
          <w:sz w:val="24"/>
          <w:szCs w:val="24"/>
          <w:vertAlign w:val="subscript"/>
        </w:rPr>
        <w:t>3</w:t>
      </w:r>
      <w:r>
        <w:t>). Цены, используемые при калькуляции з</w:t>
      </w:r>
      <w:r>
        <w:t>а</w:t>
      </w:r>
      <w:r>
        <w:t>трат на покупные и</w:t>
      </w:r>
      <w:r>
        <w:t>з</w:t>
      </w:r>
      <w:r>
        <w:t>делия, являются среднерыночными. Транспортно-заготовительные расходы приняты в размере 10 % от стоимости покупных и</w:t>
      </w:r>
      <w:r>
        <w:t>з</w:t>
      </w:r>
      <w:r>
        <w:t>делий (табл. 4.5).</w:t>
      </w:r>
    </w:p>
    <w:p w:rsidR="007562B2" w:rsidRDefault="007562B2">
      <w:pPr>
        <w:jc w:val="right"/>
      </w:pPr>
      <w:r>
        <w:t>Таблица 4.5</w:t>
      </w:r>
    </w:p>
    <w:p w:rsidR="007562B2" w:rsidRDefault="007562B2">
      <w:pPr>
        <w:ind w:firstLine="0"/>
        <w:jc w:val="center"/>
      </w:pPr>
      <w:r>
        <w:rPr>
          <w:bCs/>
        </w:rPr>
        <w:t>Затраты на покупные изделия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14"/>
        <w:gridCol w:w="1594"/>
        <w:gridCol w:w="1892"/>
        <w:gridCol w:w="1653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Количес</w:t>
            </w:r>
            <w:r>
              <w:rPr>
                <w:rFonts w:ascii="Times New Roman CYR" w:hAnsi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/>
                <w:sz w:val="24"/>
                <w:szCs w:val="24"/>
              </w:rPr>
              <w:t>во, шт.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Цена един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>цы, руб.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Сто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>мость,</w:t>
            </w:r>
          </w:p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  <w:vertAlign w:val="subscript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Кристалл  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LiNbO</w:t>
            </w:r>
            <w:r>
              <w:rPr>
                <w:rFonts w:ascii="Times New Roman CYR" w:hAnsi="Times New Roman CYR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600,00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right="458" w:firstLine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2*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2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600,00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Транзисторы КП - 301Е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2,50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3*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3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2,50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ГТ- 408 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1,80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4*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4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3,60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Конденсаторы К10-17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5*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5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0,60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К53-35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6*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6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1,30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Резисторы МЛТ – 0,125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7*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7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0,75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МЛТ – 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0,35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8*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8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0,70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Диоды Д-209А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0,25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9*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9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0,25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Стабилитроны </w:t>
            </w:r>
            <w:r>
              <w:rPr>
                <w:rFonts w:ascii="Times New Roman CYR" w:hAnsi="Times New Roman CYR"/>
                <w:sz w:val="24"/>
              </w:rPr>
              <w:t>КС533А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1,15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10*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10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1,15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Разъемы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1,50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11*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11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6,00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Крепеж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0,05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12*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12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0,40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1" w:type="pct"/>
            <w:gridSpan w:val="3"/>
            <w:tcBorders>
              <w:top w:val="single" w:sz="4" w:space="0" w:color="auto"/>
            </w:tcBorders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Транспортно-заготовительные расходы (10 %)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-2340"/>
              </w:tabs>
              <w:ind w:right="458" w:firstLine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=SUM(ABOVE)*0,1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61,73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1" w:type="pct"/>
            <w:gridSpan w:val="3"/>
          </w:tcPr>
          <w:p w:rsidR="007562B2" w:rsidRDefault="007562B2">
            <w:pPr>
              <w:tabs>
                <w:tab w:val="left" w:pos="-2340"/>
              </w:tabs>
              <w:ind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Итого</w:t>
            </w:r>
          </w:p>
        </w:tc>
        <w:tc>
          <w:tcPr>
            <w:tcW w:w="839" w:type="pct"/>
            <w:vAlign w:val="center"/>
          </w:tcPr>
          <w:p w:rsidR="007562B2" w:rsidRDefault="007562B2">
            <w:pPr>
              <w:tabs>
                <w:tab w:val="left" w:pos="-2340"/>
              </w:tabs>
              <w:ind w:right="458" w:firstLine="0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b/>
                <w:noProof/>
                <w:sz w:val="24"/>
                <w:szCs w:val="24"/>
              </w:rPr>
              <w:t>678,98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fldChar w:fldCharType="end"/>
            </w:r>
          </w:p>
        </w:tc>
      </w:tr>
    </w:tbl>
    <w:p w:rsidR="007562B2" w:rsidRDefault="007562B2"/>
    <w:p w:rsidR="007562B2" w:rsidRDefault="007562B2">
      <w:r>
        <w:t>При расчете основной заработной платы производственных рабочих и</w:t>
      </w:r>
      <w:r>
        <w:t>с</w:t>
      </w:r>
      <w:r>
        <w:t>пользованы усредненные расценки стоимости работ в целом по отрасли «М</w:t>
      </w:r>
      <w:r>
        <w:t>а</w:t>
      </w:r>
      <w:r>
        <w:t>шиностроение». Трудоемкость и перечень видов работ установлены экспер</w:t>
      </w:r>
      <w:r>
        <w:t>т</w:t>
      </w:r>
      <w:r>
        <w:t>ным путем исходя из конструктивных и технологических особенностей разр</w:t>
      </w:r>
      <w:r>
        <w:t>а</w:t>
      </w:r>
      <w:r>
        <w:t>ботки (табл. 4.6).</w:t>
      </w:r>
    </w:p>
    <w:p w:rsidR="007562B2" w:rsidRDefault="007562B2">
      <w:pPr>
        <w:jc w:val="right"/>
      </w:pPr>
      <w:r>
        <w:t>Таблица 4.6</w:t>
      </w:r>
    </w:p>
    <w:p w:rsidR="007562B2" w:rsidRDefault="007562B2">
      <w:pPr>
        <w:ind w:firstLine="0"/>
        <w:jc w:val="center"/>
        <w:rPr>
          <w:bCs/>
        </w:rPr>
      </w:pPr>
      <w:r>
        <w:rPr>
          <w:bCs/>
        </w:rPr>
        <w:t>Расчет основной заработной платы производственных рабочих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27"/>
        <w:gridCol w:w="2542"/>
        <w:gridCol w:w="2495"/>
        <w:gridCol w:w="1789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Вид работ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Трудое</w:t>
            </w:r>
            <w:r>
              <w:rPr>
                <w:rFonts w:ascii="Times New Roman CYR" w:hAnsi="Times New Roman CYR"/>
                <w:sz w:val="24"/>
              </w:rPr>
              <w:t>м</w:t>
            </w:r>
            <w:r>
              <w:rPr>
                <w:rFonts w:ascii="Times New Roman CYR" w:hAnsi="Times New Roman CYR"/>
                <w:sz w:val="24"/>
              </w:rPr>
              <w:t>кость,</w:t>
            </w:r>
          </w:p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чел/час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Средняя час</w:t>
            </w:r>
            <w:r>
              <w:rPr>
                <w:rFonts w:ascii="Times New Roman CYR" w:hAnsi="Times New Roman CYR"/>
                <w:sz w:val="24"/>
              </w:rPr>
              <w:t>о</w:t>
            </w:r>
            <w:r>
              <w:rPr>
                <w:rFonts w:ascii="Times New Roman CYR" w:hAnsi="Times New Roman CYR"/>
                <w:sz w:val="24"/>
              </w:rPr>
              <w:t>вая</w:t>
            </w:r>
          </w:p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тарифная ста</w:t>
            </w:r>
            <w:r>
              <w:rPr>
                <w:rFonts w:ascii="Times New Roman CYR" w:hAnsi="Times New Roman CYR"/>
                <w:sz w:val="24"/>
              </w:rPr>
              <w:t>в</w:t>
            </w:r>
            <w:r>
              <w:rPr>
                <w:rFonts w:ascii="Times New Roman CYR" w:hAnsi="Times New Roman CYR"/>
                <w:sz w:val="24"/>
              </w:rPr>
              <w:t>ка, руб.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Су</w:t>
            </w:r>
            <w:r>
              <w:rPr>
                <w:rFonts w:ascii="Times New Roman CYR" w:hAnsi="Times New Roman CYR"/>
                <w:sz w:val="24"/>
              </w:rPr>
              <w:t>м</w:t>
            </w:r>
            <w:r>
              <w:rPr>
                <w:rFonts w:ascii="Times New Roman CYR" w:hAnsi="Times New Roman CYR"/>
                <w:sz w:val="24"/>
              </w:rPr>
              <w:t>ма,</w:t>
            </w:r>
          </w:p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Холодная штампо</w:t>
            </w:r>
            <w:r>
              <w:rPr>
                <w:rFonts w:ascii="Times New Roman CYR" w:hAnsi="Times New Roman CYR"/>
                <w:sz w:val="24"/>
              </w:rPr>
              <w:t>в</w:t>
            </w:r>
            <w:r>
              <w:rPr>
                <w:rFonts w:ascii="Times New Roman CYR" w:hAnsi="Times New Roman CYR"/>
                <w:sz w:val="24"/>
              </w:rPr>
              <w:t>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right="458" w:firstLine="0"/>
              <w:jc w:val="right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=B2*C2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4,50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Механическая о</w:t>
            </w:r>
            <w:r>
              <w:rPr>
                <w:rFonts w:ascii="Times New Roman CYR" w:hAnsi="Times New Roman CYR"/>
                <w:sz w:val="24"/>
              </w:rPr>
              <w:t>б</w:t>
            </w:r>
            <w:r>
              <w:rPr>
                <w:rFonts w:ascii="Times New Roman CYR" w:hAnsi="Times New Roman CYR"/>
                <w:sz w:val="24"/>
              </w:rPr>
              <w:t>работка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3*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3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9,00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Сварка (аргонод</w:t>
            </w:r>
            <w:r>
              <w:rPr>
                <w:rFonts w:ascii="Times New Roman CYR" w:hAnsi="Times New Roman CYR"/>
                <w:sz w:val="24"/>
              </w:rPr>
              <w:t>у</w:t>
            </w:r>
            <w:r>
              <w:rPr>
                <w:rFonts w:ascii="Times New Roman CYR" w:hAnsi="Times New Roman CYR"/>
                <w:sz w:val="24"/>
              </w:rPr>
              <w:t>говая)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4*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4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6,20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Фото-хим. травл</w:t>
            </w:r>
            <w:r>
              <w:rPr>
                <w:rFonts w:ascii="Times New Roman CYR" w:hAnsi="Times New Roman CYR"/>
                <w:sz w:val="24"/>
              </w:rPr>
              <w:t>е</w:t>
            </w:r>
            <w:r>
              <w:rPr>
                <w:rFonts w:ascii="Times New Roman CYR" w:hAnsi="Times New Roman CYR"/>
                <w:sz w:val="24"/>
              </w:rPr>
              <w:t>ние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5*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5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106,25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Литье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6*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6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5,70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Пайка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7*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7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6,80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Монтажные работы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8*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8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52,50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Лакокрасочные п</w:t>
            </w:r>
            <w:r>
              <w:rPr>
                <w:rFonts w:ascii="Times New Roman CYR" w:hAnsi="Times New Roman CYR"/>
                <w:sz w:val="24"/>
              </w:rPr>
              <w:t>о</w:t>
            </w:r>
            <w:r>
              <w:rPr>
                <w:rFonts w:ascii="Times New Roman CYR" w:hAnsi="Times New Roman CYR"/>
                <w:sz w:val="24"/>
              </w:rPr>
              <w:t>крытия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9*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9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3,20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Сборочные работы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10*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10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60,00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709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Контрольные оп</w:t>
            </w:r>
            <w:r>
              <w:rPr>
                <w:rFonts w:ascii="Times New Roman CYR" w:hAnsi="Times New Roman CYR"/>
                <w:sz w:val="24"/>
              </w:rPr>
              <w:t>е</w:t>
            </w:r>
            <w:r>
              <w:rPr>
                <w:rFonts w:ascii="Times New Roman CYR" w:hAnsi="Times New Roman CYR"/>
                <w:sz w:val="24"/>
              </w:rPr>
              <w:t>рации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458" w:firstLine="0"/>
              <w:jc w:val="right"/>
            </w:pPr>
            <w:r>
              <w:rPr>
                <w:rFonts w:ascii="Times New Roman CYR" w:hAnsi="Times New Roman CYR"/>
                <w:sz w:val="24"/>
                <w:szCs w:val="24"/>
              </w:rPr>
              <w:fldChar w:fldCharType="begin"/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 =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B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>11*</w:instrTex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instrText>C</w:instrText>
            </w:r>
            <w:r>
              <w:rPr>
                <w:rFonts w:ascii="Times New Roman CYR" w:hAnsi="Times New Roman CYR"/>
                <w:sz w:val="24"/>
                <w:szCs w:val="24"/>
              </w:rPr>
              <w:instrText xml:space="preserve">11 \# "# ##0,00" </w:instrTex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4"/>
                <w:szCs w:val="24"/>
              </w:rPr>
              <w:t>7,20</w:t>
            </w:r>
            <w:r>
              <w:rPr>
                <w:rFonts w:ascii="Times New Roman CYR" w:hAnsi="Times New Roman CYR"/>
                <w:sz w:val="24"/>
                <w:szCs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2" w:type="pct"/>
            <w:gridSpan w:val="3"/>
            <w:vAlign w:val="center"/>
          </w:tcPr>
          <w:p w:rsidR="007562B2" w:rsidRDefault="007562B2">
            <w:pPr>
              <w:tabs>
                <w:tab w:val="left" w:pos="709"/>
              </w:tabs>
              <w:ind w:firstLine="0"/>
              <w:jc w:val="left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 основная зарплата</w:t>
            </w:r>
          </w:p>
        </w:tc>
        <w:tc>
          <w:tcPr>
            <w:tcW w:w="908" w:type="pct"/>
            <w:vAlign w:val="center"/>
          </w:tcPr>
          <w:p w:rsidR="007562B2" w:rsidRDefault="007562B2">
            <w:pPr>
              <w:tabs>
                <w:tab w:val="left" w:pos="709"/>
              </w:tabs>
              <w:ind w:right="45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=SUM(ABOVE) \# "# ##0,00"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261,35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7562B2" w:rsidRDefault="007562B2"/>
    <w:p w:rsidR="007562B2" w:rsidRDefault="007562B2">
      <w:r>
        <w:t xml:space="preserve">При выполнении калькуляции полной себестоимости разрабатываемого устройства сгруппируем дополнительно затраты по способу их отнесения на себестоимость единицы продукции: прямые материальные затраты, прямые </w:t>
      </w:r>
      <w:r>
        <w:lastRenderedPageBreak/>
        <w:t>трудовые затраты, н</w:t>
      </w:r>
      <w:r>
        <w:t>а</w:t>
      </w:r>
      <w:r>
        <w:t>кладные расходы и внепроизводственные расходы (табл. 4.7).</w:t>
      </w:r>
    </w:p>
    <w:p w:rsidR="007562B2" w:rsidRDefault="007562B2">
      <w:r>
        <w:t>Величина дополнительной заработной платы составляет 8 %, а отчисл</w:t>
      </w:r>
      <w:r>
        <w:t>е</w:t>
      </w:r>
      <w:r>
        <w:t>ния на социальные нужды, в соответствии с действующим законодательством, - 13% к основной заработной плате производственных рабочих. Накладные ра</w:t>
      </w:r>
      <w:r>
        <w:t>с</w:t>
      </w:r>
      <w:r>
        <w:t>ходы определены в процентном отношении к основной заработной плате пр</w:t>
      </w:r>
      <w:r>
        <w:t>о</w:t>
      </w:r>
      <w:r>
        <w:t>изводственных рабочих исходя из конструктивных и технологических особе</w:t>
      </w:r>
      <w:r>
        <w:t>н</w:t>
      </w:r>
      <w:r>
        <w:t>ностей разработки следующим образом: расходы на содержание и эксплуат</w:t>
      </w:r>
      <w:r>
        <w:t>а</w:t>
      </w:r>
      <w:r>
        <w:t>цию оборудования – 140 %, цеховые ра</w:t>
      </w:r>
      <w:r>
        <w:t>с</w:t>
      </w:r>
      <w:r>
        <w:t>ходы – 50 %, общезаводские расходы – 100 %. Внепроизводственные расходы принимаем в размере 5% к произво</w:t>
      </w:r>
      <w:r>
        <w:t>д</w:t>
      </w:r>
      <w:r>
        <w:t>ственной себ</w:t>
      </w:r>
      <w:r>
        <w:t>е</w:t>
      </w:r>
      <w:r>
        <w:t>стоимости (табл. 4.6).</w:t>
      </w:r>
    </w:p>
    <w:p w:rsidR="007562B2" w:rsidRDefault="007562B2"/>
    <w:p w:rsidR="007562B2" w:rsidRDefault="007562B2">
      <w:pPr>
        <w:jc w:val="right"/>
      </w:pPr>
      <w:r>
        <w:t>Таблица 4.7</w:t>
      </w:r>
    </w:p>
    <w:p w:rsidR="007562B2" w:rsidRDefault="007562B2">
      <w:pPr>
        <w:ind w:firstLine="0"/>
        <w:jc w:val="center"/>
      </w:pPr>
      <w:r>
        <w:t>Калькуляция полной себестоимости устройства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7674"/>
        <w:gridCol w:w="2179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статьи калькуляции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Сумма,</w:t>
            </w:r>
          </w:p>
          <w:p w:rsidR="007562B2" w:rsidRDefault="007562B2">
            <w:pPr>
              <w:tabs>
                <w:tab w:val="left" w:pos="-2628"/>
              </w:tabs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 Сырье и материалы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87,12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 Покупные комплектующие изделия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678,98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b/>
                <w:i/>
                <w:sz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</w:rPr>
              <w:t>Итого, прямые материальные затраты: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=B2+B3 \# "# ##0,00"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766,10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 Основная заработная плата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t>261,35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 Дополнительная заработная плата (</w:t>
            </w:r>
            <w:r>
              <w:rPr>
                <w:sz w:val="24"/>
              </w:rPr>
              <w:t>8 %)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=B5*0,08 \# "# ##0,00"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20,91</w:t>
            </w:r>
            <w:r>
              <w:rPr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5. Социальные отчисления (13 %)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=(B5+B6)*0,13 \# "# ##0,00"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36,69</w:t>
            </w:r>
            <w:r>
              <w:rPr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</w:rPr>
              <w:t>Итого прямые трудовые затраты: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=B5+B6+B7 \# "# ##0,00"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318,95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6. Расходы на содержание и эксплуатацию оборудования (140 %)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=B5*1,4 \# "# ##0,00"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365,89</w:t>
            </w:r>
            <w:r>
              <w:rPr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7. Цеховые расходы (</w:t>
            </w:r>
            <w:r>
              <w:rPr>
                <w:sz w:val="24"/>
              </w:rPr>
              <w:t>50 %)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=B5*0,5\# "# ##0,00"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130,68</w:t>
            </w:r>
            <w:r>
              <w:rPr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8. Общезаводские расходы (100 %)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=B5*1,0 \# "# ##0,00"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261,35</w:t>
            </w:r>
            <w:r>
              <w:rPr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</w:rPr>
              <w:t>Итого, накладные расходы: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=B9+B10+B11 \# "# ##0,00"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757,92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Производственная себестоимость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=B4+B8+B12 \# "# ##0,00"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1 842,97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9. Внепроизводственные расходы (5 %)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=B13*0,05 \# "# ##0,00"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92,15</w:t>
            </w:r>
            <w:r>
              <w:rPr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firstLine="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Полная себестоимость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tabs>
                <w:tab w:val="left" w:pos="-2628"/>
              </w:tabs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=B13+B14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1 935,12</w:t>
            </w:r>
            <w:r>
              <w:rPr>
                <w:sz w:val="24"/>
              </w:rPr>
              <w:fldChar w:fldCharType="end"/>
            </w:r>
          </w:p>
        </w:tc>
      </w:tr>
    </w:tbl>
    <w:p w:rsidR="007562B2" w:rsidRDefault="007562B2"/>
    <w:p w:rsidR="007562B2" w:rsidRDefault="007562B2">
      <w:r>
        <w:t>Исходя из назначения и области применения разработки, определим в</w:t>
      </w:r>
      <w:r>
        <w:t>е</w:t>
      </w:r>
      <w:r>
        <w:t>личину закладываемой прибыли в размере 40 % к полной себестоимости. Ра</w:t>
      </w:r>
      <w:r>
        <w:t>з</w:t>
      </w:r>
      <w:r>
        <w:t>мер налога на добавленную стоимость (НДС) определяем как 20 % от прода</w:t>
      </w:r>
      <w:r>
        <w:t>ж</w:t>
      </w:r>
      <w:r>
        <w:t>ной цены разработки за вычетом уже уплаченного НДС по приобретенным м</w:t>
      </w:r>
      <w:r>
        <w:t>а</w:t>
      </w:r>
      <w:r>
        <w:t>териалам и комплектующим (табл. 4.8).</w:t>
      </w:r>
    </w:p>
    <w:p w:rsidR="007562B2" w:rsidRDefault="007562B2">
      <w:pPr>
        <w:jc w:val="right"/>
      </w:pPr>
      <w:r>
        <w:t xml:space="preserve"> Таблица 4.8</w:t>
      </w:r>
    </w:p>
    <w:p w:rsidR="007562B2" w:rsidRDefault="007562B2">
      <w:pPr>
        <w:ind w:firstLine="0"/>
        <w:jc w:val="center"/>
      </w:pPr>
      <w:r>
        <w:t>Определение возможной рыночной цены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5"/>
        <w:gridCol w:w="1998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6" w:type="pct"/>
            <w:vAlign w:val="center"/>
          </w:tcPr>
          <w:p w:rsidR="007562B2" w:rsidRDefault="007562B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статьи калькуляции</w:t>
            </w:r>
          </w:p>
        </w:tc>
        <w:tc>
          <w:tcPr>
            <w:tcW w:w="1014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6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Полная себестоимость</w:t>
            </w:r>
          </w:p>
        </w:tc>
        <w:tc>
          <w:tcPr>
            <w:tcW w:w="1014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t>1 935,12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6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Закладываемая прибыль (40 %)</w:t>
            </w:r>
          </w:p>
        </w:tc>
        <w:tc>
          <w:tcPr>
            <w:tcW w:w="1014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=B2*0,4 \# "# ##0,00"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774,05</w:t>
            </w:r>
            <w:r>
              <w:rPr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6" w:type="pct"/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Итого, продажная цена без НДС</w:t>
            </w:r>
          </w:p>
        </w:tc>
        <w:tc>
          <w:tcPr>
            <w:tcW w:w="1014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=B2+B3 \# "# ##0,00"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2 709,17</w:t>
            </w:r>
            <w:r>
              <w:rPr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6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НДС, за вычетом уплаченного НДС по приобретенным материалам и комплектующим табл. </w:t>
            </w:r>
            <w:r>
              <w:rPr>
                <w:sz w:val="24"/>
              </w:rPr>
              <w:t xml:space="preserve">4.2 - 4.3 (20 </w:t>
            </w:r>
            <w:r>
              <w:rPr>
                <w:rFonts w:ascii="Times New Roman CYR" w:hAnsi="Times New Roman CYR"/>
                <w:sz w:val="24"/>
              </w:rPr>
              <w:t>%)</w:t>
            </w:r>
          </w:p>
        </w:tc>
        <w:tc>
          <w:tcPr>
            <w:tcW w:w="1014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=(B4-766,1)*0,2\# "# ##0,00"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388,61</w:t>
            </w:r>
            <w:r>
              <w:rPr>
                <w:sz w:val="24"/>
              </w:rPr>
              <w:fldChar w:fldCharType="end"/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6" w:type="pct"/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Итого, продажная цена с НДС</w:t>
            </w:r>
          </w:p>
        </w:tc>
        <w:tc>
          <w:tcPr>
            <w:tcW w:w="1014" w:type="pct"/>
            <w:vAlign w:val="center"/>
          </w:tcPr>
          <w:p w:rsidR="007562B2" w:rsidRDefault="007562B2">
            <w:pPr>
              <w:ind w:right="45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=B4+B5 \# "# ##0,00"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3 097,78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7562B2" w:rsidRDefault="007562B2">
      <w:pPr>
        <w:tabs>
          <w:tab w:val="left" w:pos="-2340"/>
        </w:tabs>
        <w:rPr>
          <w:rFonts w:ascii="Times New Roman CYR" w:hAnsi="Times New Roman CYR"/>
        </w:rPr>
      </w:pPr>
    </w:p>
    <w:p w:rsidR="007562B2" w:rsidRDefault="007562B2">
      <w:pPr>
        <w:tabs>
          <w:tab w:val="left" w:pos="-2340"/>
        </w:tabs>
      </w:pPr>
      <w:r>
        <w:lastRenderedPageBreak/>
        <w:t>Полученное расчетное значение рыночной цены соответствует оценкам экспертов, а структура цены разработки аналогична усредненной по отрасли «Машин</w:t>
      </w:r>
      <w:r>
        <w:t>о</w:t>
      </w:r>
      <w:r>
        <w:t>строение».</w:t>
      </w:r>
    </w:p>
    <w:p w:rsidR="007562B2" w:rsidRDefault="007562B2">
      <w:pPr>
        <w:tabs>
          <w:tab w:val="left" w:pos="-2340"/>
        </w:tabs>
      </w:pPr>
      <w:r>
        <w:t>В табл. 4.9 приведен расчет цены потребления аналога и разработки. При опр</w:t>
      </w:r>
      <w:r>
        <w:t>е</w:t>
      </w:r>
      <w:r>
        <w:t>делении единовременных капитальных затрат экспертная оценка расходов на тран</w:t>
      </w:r>
      <w:r>
        <w:t>с</w:t>
      </w:r>
      <w:r>
        <w:t>портировку монтаж устройства, стоимость комплекта запасных частей составит: для аналога – 15 %, для разработки – 5 % к рыночной цене. При оце</w:t>
      </w:r>
      <w:r>
        <w:t>н</w:t>
      </w:r>
      <w:r>
        <w:t>ке эксплуатационных расходов экспертная оценка затрат на обслуживание, р</w:t>
      </w:r>
      <w:r>
        <w:t>е</w:t>
      </w:r>
      <w:r>
        <w:t>монт и др. составит: для ан</w:t>
      </w:r>
      <w:r>
        <w:t>а</w:t>
      </w:r>
      <w:r>
        <w:t>лога – 15 %, для разработки – 5 % к рыночной цене.</w:t>
      </w:r>
    </w:p>
    <w:p w:rsidR="007562B2" w:rsidRDefault="007562B2">
      <w:pPr>
        <w:tabs>
          <w:tab w:val="left" w:pos="-2340"/>
        </w:tabs>
      </w:pPr>
    </w:p>
    <w:p w:rsidR="007562B2" w:rsidRDefault="007562B2">
      <w:pPr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Таблица 4.9</w:t>
      </w:r>
    </w:p>
    <w:p w:rsidR="007562B2" w:rsidRDefault="007562B2">
      <w:pPr>
        <w:ind w:firstLine="0"/>
        <w:jc w:val="center"/>
      </w:pPr>
      <w:r>
        <w:t>Вычисление интегрального стоимостного показателя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3"/>
        <w:gridCol w:w="1951"/>
        <w:gridCol w:w="2059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статьи кальк</w:t>
            </w:r>
            <w:r>
              <w:rPr>
                <w:rFonts w:ascii="Times New Roman CYR" w:hAnsi="Times New Roman CYR"/>
                <w:sz w:val="24"/>
              </w:rPr>
              <w:t>у</w:t>
            </w:r>
            <w:r>
              <w:rPr>
                <w:rFonts w:ascii="Times New Roman CYR" w:hAnsi="Times New Roman CYR"/>
                <w:sz w:val="24"/>
              </w:rPr>
              <w:t>ляции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Аналог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Сумма, руб.</w:t>
            </w:r>
          </w:p>
        </w:tc>
        <w:tc>
          <w:tcPr>
            <w:tcW w:w="1045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Сумма, руб.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Полная себестоимость </w:t>
            </w:r>
            <w:r>
              <w:rPr>
                <w:rFonts w:ascii="Times New Roman CYR" w:hAnsi="Times New Roman CYR"/>
                <w:position w:val="-6"/>
              </w:rPr>
              <w:object w:dxaOrig="480" w:dyaOrig="300">
                <v:shape id="_x0000_i1075" type="#_x0000_t75" style="width:23.85pt;height:14.9pt" o:ole="">
                  <v:imagedata r:id="rId61" o:title=""/>
                </v:shape>
                <o:OLEObject Type="Embed" ProgID="Equation.3" ShapeID="_x0000_i1075" DrawAspect="Content" ObjectID="_1633867642" r:id="rId106"/>
              </w:object>
            </w:r>
          </w:p>
        </w:tc>
        <w:tc>
          <w:tcPr>
            <w:tcW w:w="990" w:type="pct"/>
            <w:vAlign w:val="center"/>
          </w:tcPr>
          <w:p w:rsidR="007562B2" w:rsidRDefault="007562B2">
            <w:pPr>
              <w:ind w:right="559" w:firstLine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5" w:type="pct"/>
            <w:vAlign w:val="center"/>
          </w:tcPr>
          <w:p w:rsidR="007562B2" w:rsidRDefault="007562B2">
            <w:pPr>
              <w:ind w:right="638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1 935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  <w:tcBorders>
              <w:bottom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Рыночная цена </w:t>
            </w:r>
            <w:r>
              <w:rPr>
                <w:rFonts w:ascii="Times New Roman CYR" w:hAnsi="Times New Roman CYR"/>
                <w:position w:val="-12"/>
              </w:rPr>
              <w:object w:dxaOrig="400" w:dyaOrig="380">
                <v:shape id="_x0000_i1076" type="#_x0000_t75" style="width:19.85pt;height:18.85pt" o:ole="">
                  <v:imagedata r:id="rId63" o:title=""/>
                </v:shape>
                <o:OLEObject Type="Embed" ProgID="Equation.3" ShapeID="_x0000_i1076" DrawAspect="Content" ObjectID="_1633867643" r:id="rId107"/>
              </w:objec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right="559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045" w:type="pct"/>
            <w:vAlign w:val="center"/>
          </w:tcPr>
          <w:p w:rsidR="007562B2" w:rsidRDefault="007562B2">
            <w:pPr>
              <w:ind w:right="638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3 098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Итого, единовременные капитальные з</w:t>
            </w:r>
            <w:r>
              <w:rPr>
                <w:rFonts w:ascii="Times New Roman CYR" w:hAnsi="Times New Roman CYR"/>
                <w:b/>
                <w:sz w:val="24"/>
              </w:rPr>
              <w:t>а</w:t>
            </w:r>
            <w:r>
              <w:rPr>
                <w:rFonts w:ascii="Times New Roman CYR" w:hAnsi="Times New Roman CYR"/>
                <w:b/>
                <w:sz w:val="24"/>
              </w:rPr>
              <w:t xml:space="preserve">траты </w:t>
            </w:r>
            <w:r>
              <w:rPr>
                <w:rFonts w:ascii="Times New Roman CYR" w:hAnsi="Times New Roman CYR"/>
                <w:position w:val="-4"/>
              </w:rPr>
              <w:object w:dxaOrig="300" w:dyaOrig="279">
                <v:shape id="_x0000_i1077" type="#_x0000_t75" style="width:14.9pt;height:13.9pt" o:ole="">
                  <v:imagedata r:id="rId65" o:title=""/>
                </v:shape>
                <o:OLEObject Type="Embed" ProgID="Equation.3" ShapeID="_x0000_i1077" DrawAspect="Content" ObjectID="_1633867644" r:id="rId108"/>
              </w:objec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right="559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1 725</w:t>
            </w:r>
          </w:p>
        </w:tc>
        <w:tc>
          <w:tcPr>
            <w:tcW w:w="1045" w:type="pct"/>
            <w:vAlign w:val="center"/>
          </w:tcPr>
          <w:p w:rsidR="007562B2" w:rsidRDefault="007562B2">
            <w:pPr>
              <w:ind w:right="638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3 253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  <w:tcBorders>
              <w:top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Итого, затра</w:t>
            </w:r>
            <w:r>
              <w:rPr>
                <w:rFonts w:ascii="Times New Roman CYR" w:hAnsi="Times New Roman CYR"/>
                <w:b/>
                <w:sz w:val="24"/>
              </w:rPr>
              <w:softHyphen/>
              <w:t>ты на эксплуатацию за все время р</w:t>
            </w:r>
            <w:r>
              <w:rPr>
                <w:rFonts w:ascii="Times New Roman CYR" w:hAnsi="Times New Roman CYR"/>
                <w:b/>
                <w:sz w:val="24"/>
              </w:rPr>
              <w:t>а</w:t>
            </w:r>
            <w:r>
              <w:rPr>
                <w:rFonts w:ascii="Times New Roman CYR" w:hAnsi="Times New Roman CYR"/>
                <w:b/>
                <w:sz w:val="24"/>
              </w:rPr>
              <w:t xml:space="preserve">боты изделия </w:t>
            </w:r>
            <w:r>
              <w:rPr>
                <w:rFonts w:ascii="Times New Roman CYR" w:hAnsi="Times New Roman CYR"/>
                <w:position w:val="-12"/>
              </w:rPr>
              <w:object w:dxaOrig="340" w:dyaOrig="380">
                <v:shape id="_x0000_i1078" type="#_x0000_t75" style="width:16.9pt;height:18.85pt" o:ole="">
                  <v:imagedata r:id="rId67" o:title=""/>
                </v:shape>
                <o:OLEObject Type="Embed" ProgID="Equation.3" ShapeID="_x0000_i1078" DrawAspect="Content" ObjectID="_1633867645" r:id="rId109"/>
              </w:object>
            </w: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7562B2" w:rsidRDefault="007562B2">
            <w:pPr>
              <w:ind w:right="559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045" w:type="pct"/>
            <w:vAlign w:val="center"/>
          </w:tcPr>
          <w:p w:rsidR="007562B2" w:rsidRDefault="007562B2">
            <w:pPr>
              <w:ind w:right="638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155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5" w:type="pct"/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Итого, интегральный стоимостный показатель (цена п</w:t>
            </w:r>
            <w:r>
              <w:rPr>
                <w:rFonts w:ascii="Times New Roman CYR" w:hAnsi="Times New Roman CYR"/>
                <w:b/>
                <w:sz w:val="24"/>
              </w:rPr>
              <w:t>о</w:t>
            </w:r>
            <w:r>
              <w:rPr>
                <w:rFonts w:ascii="Times New Roman CYR" w:hAnsi="Times New Roman CYR"/>
                <w:b/>
                <w:sz w:val="24"/>
              </w:rPr>
              <w:t xml:space="preserve">требления) </w:t>
            </w:r>
            <w:r>
              <w:rPr>
                <w:rFonts w:ascii="Times New Roman CYR" w:hAnsi="Times New Roman CYR"/>
                <w:position w:val="-12"/>
              </w:rPr>
              <w:object w:dxaOrig="320" w:dyaOrig="380">
                <v:shape id="_x0000_i1079" type="#_x0000_t75" style="width:15.9pt;height:18.85pt" o:ole="">
                  <v:imagedata r:id="rId69" o:title=""/>
                </v:shape>
                <o:OLEObject Type="Embed" ProgID="Equation.3" ShapeID="_x0000_i1079" DrawAspect="Content" ObjectID="_1633867646" r:id="rId110"/>
              </w:object>
            </w:r>
          </w:p>
        </w:tc>
        <w:tc>
          <w:tcPr>
            <w:tcW w:w="990" w:type="pct"/>
            <w:vAlign w:val="center"/>
          </w:tcPr>
          <w:p w:rsidR="007562B2" w:rsidRDefault="007562B2">
            <w:pPr>
              <w:ind w:right="559" w:firstLine="0"/>
              <w:jc w:val="right"/>
              <w:rPr>
                <w:sz w:val="24"/>
              </w:rPr>
            </w:pPr>
            <w:r>
              <w:rPr>
                <w:sz w:val="24"/>
              </w:rPr>
              <w:t>1 950</w:t>
            </w:r>
          </w:p>
        </w:tc>
        <w:tc>
          <w:tcPr>
            <w:tcW w:w="1045" w:type="pct"/>
            <w:vAlign w:val="center"/>
          </w:tcPr>
          <w:p w:rsidR="007562B2" w:rsidRDefault="007562B2">
            <w:pPr>
              <w:ind w:right="638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3 408</w:t>
            </w:r>
          </w:p>
        </w:tc>
      </w:tr>
    </w:tbl>
    <w:p w:rsidR="007562B2" w:rsidRDefault="007562B2"/>
    <w:p w:rsidR="007562B2" w:rsidRDefault="007562B2">
      <w:pPr>
        <w:pStyle w:val="2"/>
        <w:spacing w:after="0"/>
      </w:pPr>
      <w:bookmarkStart w:id="62" w:name="_Toc89169520"/>
      <w:bookmarkStart w:id="63" w:name="_Toc89170688"/>
      <w:bookmarkStart w:id="64" w:name="_Toc89170746"/>
      <w:bookmarkStart w:id="65" w:name="_Toc99193597"/>
      <w:r>
        <w:t>4.6. Расчет технико-экономических показателей разрабо</w:t>
      </w:r>
      <w:r>
        <w:t>т</w:t>
      </w:r>
      <w:r>
        <w:t>ки</w:t>
      </w:r>
      <w:bookmarkEnd w:id="62"/>
      <w:bookmarkEnd w:id="63"/>
      <w:bookmarkEnd w:id="64"/>
      <w:bookmarkEnd w:id="65"/>
    </w:p>
    <w:p w:rsidR="007562B2" w:rsidRDefault="007562B2"/>
    <w:p w:rsidR="007562B2" w:rsidRDefault="007562B2">
      <w:r>
        <w:t>Рассчитаем технико-экономические показатели проекта по выбранным в п.4.4 критериям и представим их в таблице 4.10. Форму вычисления интеграл</w:t>
      </w:r>
      <w:r>
        <w:t>ь</w:t>
      </w:r>
      <w:r>
        <w:t>ного технического показателя выберем аддитивную, так как выбранные крит</w:t>
      </w:r>
      <w:r>
        <w:t>е</w:t>
      </w:r>
      <w:r>
        <w:t>рии не имеют нулевых численных значений как для разработки, так и для ан</w:t>
      </w:r>
      <w:r>
        <w:t>а</w:t>
      </w:r>
      <w:r>
        <w:t>лога. Число критериев для сравнения – 5, что не противоречит используемой методике и не приведет к сглажив</w:t>
      </w:r>
      <w:r>
        <w:t>а</w:t>
      </w:r>
      <w:r>
        <w:t>нию отличительных параметров.</w:t>
      </w:r>
    </w:p>
    <w:p w:rsidR="007562B2" w:rsidRDefault="007562B2">
      <w:r>
        <w:t>Формула для расчета интегрального техническ</w:t>
      </w:r>
      <w:r>
        <w:t>о</w:t>
      </w:r>
      <w:r>
        <w:t>го показателя</w:t>
      </w:r>
    </w:p>
    <w:p w:rsidR="007562B2" w:rsidRDefault="007562B2">
      <w:pPr>
        <w:jc w:val="center"/>
      </w:pPr>
      <w:r>
        <w:rPr>
          <w:i/>
          <w:position w:val="-32"/>
        </w:rPr>
        <w:object w:dxaOrig="1340" w:dyaOrig="780">
          <v:shape id="_x0000_i1080" type="#_x0000_t75" style="width:67.05pt;height:39.25pt" o:ole="">
            <v:imagedata r:id="rId111" o:title=""/>
          </v:shape>
          <o:OLEObject Type="Embed" ProgID="Equation.3" ShapeID="_x0000_i1080" DrawAspect="Content" ObjectID="_1633867647" r:id="rId112"/>
        </w:object>
      </w:r>
      <w:r>
        <w:t>,</w:t>
      </w:r>
    </w:p>
    <w:p w:rsidR="007562B2" w:rsidRDefault="007562B2">
      <w:pPr>
        <w:ind w:firstLine="0"/>
      </w:pPr>
      <w:r>
        <w:t xml:space="preserve">где  </w:t>
      </w:r>
      <w:r>
        <w:rPr>
          <w:position w:val="-12"/>
        </w:rPr>
        <w:object w:dxaOrig="279" w:dyaOrig="380">
          <v:shape id="_x0000_i1081" type="#_x0000_t75" style="width:13.9pt;height:18.85pt" o:ole="">
            <v:imagedata r:id="rId113" o:title=""/>
          </v:shape>
          <o:OLEObject Type="Embed" ProgID="Equation.3" ShapeID="_x0000_i1081" DrawAspect="Content" ObjectID="_1633867648" r:id="rId114"/>
        </w:object>
      </w:r>
      <w:r>
        <w:t xml:space="preserve"> – весовой коэффициент </w:t>
      </w:r>
      <w:r>
        <w:rPr>
          <w:i/>
          <w:iCs/>
          <w:lang w:val="en-US"/>
        </w:rPr>
        <w:t>i</w:t>
      </w:r>
      <w:r>
        <w:t>-го параметра;</w:t>
      </w:r>
    </w:p>
    <w:p w:rsidR="007562B2" w:rsidRDefault="007562B2">
      <w:pPr>
        <w:ind w:firstLine="540"/>
      </w:pPr>
      <w:r>
        <w:rPr>
          <w:position w:val="-12"/>
        </w:rPr>
        <w:object w:dxaOrig="240" w:dyaOrig="380">
          <v:shape id="_x0000_i1082" type="#_x0000_t75" style="width:11.9pt;height:18.85pt" o:ole="">
            <v:imagedata r:id="rId115" o:title=""/>
          </v:shape>
          <o:OLEObject Type="Embed" ProgID="Equation.3" ShapeID="_x0000_i1082" DrawAspect="Content" ObjectID="_1633867649" r:id="rId116"/>
        </w:object>
      </w:r>
      <w:r>
        <w:t xml:space="preserve"> – значение </w:t>
      </w:r>
      <w:r>
        <w:rPr>
          <w:i/>
          <w:iCs/>
          <w:lang w:val="en-US"/>
        </w:rPr>
        <w:t>i</w:t>
      </w:r>
      <w:r>
        <w:t>-го параме</w:t>
      </w:r>
      <w:r>
        <w:t>т</w:t>
      </w:r>
      <w:r>
        <w:t>ра.</w:t>
      </w:r>
    </w:p>
    <w:p w:rsidR="007562B2" w:rsidRDefault="007562B2">
      <w:r>
        <w:rPr>
          <w:rFonts w:ascii="Times New Roman CYR" w:hAnsi="Times New Roman CYR"/>
        </w:rPr>
        <w:t>Численное значение весовых коэффициентов каждого параметра устана</w:t>
      </w:r>
      <w:r>
        <w:rPr>
          <w:rFonts w:ascii="Times New Roman CYR" w:hAnsi="Times New Roman CYR"/>
        </w:rPr>
        <w:t>в</w:t>
      </w:r>
      <w:r>
        <w:rPr>
          <w:rFonts w:ascii="Times New Roman CYR" w:hAnsi="Times New Roman CYR"/>
        </w:rPr>
        <w:t>ливается экспертным путем с применением метода экспертных оценок с поз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ций важности и значимости этих параметров для потребителя. Значения вес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вых коэффициентов ук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 xml:space="preserve">заны в </w:t>
      </w:r>
      <w:r>
        <w:t>табл. 4.9.</w:t>
      </w:r>
    </w:p>
    <w:p w:rsidR="007562B2" w:rsidRDefault="007562B2">
      <w:r>
        <w:t xml:space="preserve">Значения каждого </w:t>
      </w:r>
      <w:r>
        <w:rPr>
          <w:i/>
          <w:iCs/>
          <w:lang w:val="en-US"/>
        </w:rPr>
        <w:t>i</w:t>
      </w:r>
      <w:r>
        <w:t>-го параметра для аналога устанавливаем равным ед</w:t>
      </w:r>
      <w:r>
        <w:t>и</w:t>
      </w:r>
      <w:r>
        <w:t xml:space="preserve">нице, </w:t>
      </w:r>
      <w:r>
        <w:rPr>
          <w:rFonts w:ascii="Times New Roman CYR" w:hAnsi="Times New Roman CYR"/>
        </w:rPr>
        <w:t xml:space="preserve">а </w:t>
      </w:r>
      <w:r>
        <w:t xml:space="preserve">значение </w:t>
      </w:r>
      <w:r>
        <w:rPr>
          <w:i/>
          <w:iCs/>
          <w:lang w:val="en-US"/>
        </w:rPr>
        <w:t>i</w:t>
      </w:r>
      <w:r>
        <w:t>-го параметра</w:t>
      </w:r>
      <w:r>
        <w:rPr>
          <w:rFonts w:ascii="Times New Roman CYR" w:hAnsi="Times New Roman CYR"/>
        </w:rPr>
        <w:t xml:space="preserve"> для разработки - соответствующее численное улучшение параметра в разах (значение больше единицы) либо соответству</w:t>
      </w:r>
      <w:r>
        <w:rPr>
          <w:rFonts w:ascii="Times New Roman CYR" w:hAnsi="Times New Roman CYR"/>
        </w:rPr>
        <w:t>ю</w:t>
      </w:r>
      <w:r>
        <w:rPr>
          <w:rFonts w:ascii="Times New Roman CYR" w:hAnsi="Times New Roman CYR"/>
        </w:rPr>
        <w:t>щее численное ухудшение параметра в разах (значение меньше единицы, но больше нуля).</w:t>
      </w:r>
    </w:p>
    <w:p w:rsidR="007562B2" w:rsidRDefault="007562B2">
      <w:r>
        <w:lastRenderedPageBreak/>
        <w:t>Интегральный технико-экономический показатель определяется как:</w:t>
      </w:r>
    </w:p>
    <w:p w:rsidR="007562B2" w:rsidRDefault="007562B2">
      <w:pPr>
        <w:jc w:val="center"/>
      </w:pPr>
      <w:r>
        <w:rPr>
          <w:position w:val="-34"/>
        </w:rPr>
        <w:object w:dxaOrig="1020" w:dyaOrig="780">
          <v:shape id="_x0000_i1083" type="#_x0000_t75" style="width:51.15pt;height:39.25pt" o:ole="">
            <v:imagedata r:id="rId117" o:title=""/>
          </v:shape>
          <o:OLEObject Type="Embed" ProgID="Equation.3" ShapeID="_x0000_i1083" DrawAspect="Content" ObjectID="_1633867650" r:id="rId118"/>
        </w:object>
      </w:r>
      <w:r>
        <w:t>,</w:t>
      </w:r>
    </w:p>
    <w:p w:rsidR="007562B2" w:rsidRDefault="007562B2">
      <w:pPr>
        <w:ind w:firstLine="0"/>
      </w:pPr>
      <w:r>
        <w:t xml:space="preserve">где   </w:t>
      </w:r>
      <w:r>
        <w:rPr>
          <w:position w:val="-12"/>
          <w:lang w:val="en-US"/>
        </w:rPr>
        <w:object w:dxaOrig="420" w:dyaOrig="380">
          <v:shape id="_x0000_i1084" type="#_x0000_t75" style="width:20.85pt;height:18.85pt" o:ole="">
            <v:imagedata r:id="rId119" o:title=""/>
          </v:shape>
          <o:OLEObject Type="Embed" ProgID="Equation.3" ShapeID="_x0000_i1084" DrawAspect="Content" ObjectID="_1633867651" r:id="rId120"/>
        </w:object>
      </w:r>
      <w:r>
        <w:t xml:space="preserve"> – </w:t>
      </w:r>
      <w:r>
        <w:rPr>
          <w:rFonts w:ascii="Times New Roman CYR" w:hAnsi="Times New Roman CYR"/>
        </w:rPr>
        <w:t>интегральный технико-экономический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казатель;</w:t>
      </w:r>
    </w:p>
    <w:p w:rsidR="007562B2" w:rsidRDefault="007562B2">
      <w:pPr>
        <w:ind w:firstLine="540"/>
      </w:pPr>
      <w:r>
        <w:rPr>
          <w:position w:val="-12"/>
        </w:rPr>
        <w:object w:dxaOrig="320" w:dyaOrig="380">
          <v:shape id="_x0000_i1085" type="#_x0000_t75" style="width:15.9pt;height:18.85pt" o:ole="">
            <v:imagedata r:id="rId121" o:title=""/>
          </v:shape>
          <o:OLEObject Type="Embed" ProgID="Equation.3" ShapeID="_x0000_i1085" DrawAspect="Content" ObjectID="_1633867652" r:id="rId122"/>
        </w:object>
      </w:r>
      <w:r>
        <w:t xml:space="preserve"> – </w:t>
      </w:r>
      <w:r>
        <w:rPr>
          <w:rFonts w:ascii="Times New Roman CYR" w:hAnsi="Times New Roman CYR"/>
        </w:rPr>
        <w:t>интегральный стоимостный 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казатель</w:t>
      </w:r>
      <w:r>
        <w:t>.</w:t>
      </w:r>
    </w:p>
    <w:p w:rsidR="007562B2" w:rsidRDefault="007562B2">
      <w:r>
        <w:rPr>
          <w:rFonts w:ascii="Times New Roman CYR" w:hAnsi="Times New Roman CYR"/>
        </w:rPr>
        <w:t>Интегральные стоимостные показатели (цена потребления) аналога и ра</w:t>
      </w:r>
      <w:r>
        <w:rPr>
          <w:rFonts w:ascii="Times New Roman CYR" w:hAnsi="Times New Roman CYR"/>
        </w:rPr>
        <w:t>з</w:t>
      </w:r>
      <w:r>
        <w:rPr>
          <w:rFonts w:ascii="Times New Roman CYR" w:hAnsi="Times New Roman CYR"/>
        </w:rPr>
        <w:t>рабо</w:t>
      </w:r>
      <w:r>
        <w:rPr>
          <w:rFonts w:ascii="Times New Roman CYR" w:hAnsi="Times New Roman CYR"/>
        </w:rPr>
        <w:t>т</w:t>
      </w:r>
      <w:r>
        <w:rPr>
          <w:rFonts w:ascii="Times New Roman CYR" w:hAnsi="Times New Roman CYR"/>
        </w:rPr>
        <w:t>ки выбираем из табл. 4.9. При этом соответствующие значения аналога и разработки представляют в относительных единицах, то есть интегральный стоимостный показ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тель аналога принимается равным единице, а интегральный стоимостный показатель разработки - соответствующее численное удорожание в разах.</w:t>
      </w:r>
    </w:p>
    <w:p w:rsidR="007562B2" w:rsidRDefault="007562B2">
      <w:r>
        <w:t>Сравнительная технико-экономическая эффективность разработки в</w:t>
      </w:r>
      <w:r>
        <w:t>ы</w:t>
      </w:r>
      <w:r>
        <w:t>числяется следующим образом:</w:t>
      </w:r>
    </w:p>
    <w:p w:rsidR="007562B2" w:rsidRDefault="007562B2">
      <w:pPr>
        <w:jc w:val="center"/>
      </w:pPr>
      <w:r>
        <w:rPr>
          <w:position w:val="-38"/>
        </w:rPr>
        <w:object w:dxaOrig="1680" w:dyaOrig="900">
          <v:shape id="_x0000_i1086" type="#_x0000_t75" style="width:83.9pt;height:45.2pt" o:ole="">
            <v:imagedata r:id="rId123" o:title=""/>
          </v:shape>
          <o:OLEObject Type="Embed" ProgID="Equation.3" ShapeID="_x0000_i1086" DrawAspect="Content" ObjectID="_1633867653" r:id="rId124"/>
        </w:object>
      </w:r>
      <w:r>
        <w:t>,</w:t>
      </w:r>
    </w:p>
    <w:p w:rsidR="007562B2" w:rsidRDefault="007562B2">
      <w:pPr>
        <w:tabs>
          <w:tab w:val="left" w:pos="-2340"/>
        </w:tabs>
        <w:ind w:firstLine="0"/>
      </w:pPr>
      <w:r>
        <w:t xml:space="preserve">где  </w:t>
      </w:r>
      <w:r>
        <w:rPr>
          <w:position w:val="-20"/>
        </w:rPr>
        <w:object w:dxaOrig="960" w:dyaOrig="460">
          <v:shape id="_x0000_i1087" type="#_x0000_t75" style="width:48.15pt;height:22.85pt" o:ole="">
            <v:imagedata r:id="rId125" o:title=""/>
          </v:shape>
          <o:OLEObject Type="Embed" ProgID="Equation.3" ShapeID="_x0000_i1087" DrawAspect="Content" ObjectID="_1633867654" r:id="rId126"/>
        </w:object>
      </w:r>
      <w:r>
        <w:t xml:space="preserve"> – </w:t>
      </w:r>
      <w:r>
        <w:rPr>
          <w:rFonts w:ascii="Times New Roman CYR" w:hAnsi="Times New Roman CYR"/>
        </w:rPr>
        <w:t>интегральный технико-</w:t>
      </w:r>
      <w:r>
        <w:t>экономический показатель разрабо</w:t>
      </w:r>
      <w:r>
        <w:t>т</w:t>
      </w:r>
      <w:r>
        <w:t>ки;</w:t>
      </w:r>
    </w:p>
    <w:p w:rsidR="007562B2" w:rsidRDefault="007562B2">
      <w:pPr>
        <w:ind w:firstLine="540"/>
      </w:pPr>
      <w:r>
        <w:rPr>
          <w:position w:val="-16"/>
          <w:lang w:val="en-US"/>
        </w:rPr>
        <w:object w:dxaOrig="900" w:dyaOrig="420">
          <v:shape id="_x0000_i1088" type="#_x0000_t75" style="width:45.2pt;height:20.85pt" o:ole="">
            <v:imagedata r:id="rId127" o:title=""/>
          </v:shape>
          <o:OLEObject Type="Embed" ProgID="Equation.3" ShapeID="_x0000_i1088" DrawAspect="Content" ObjectID="_1633867655" r:id="rId128"/>
        </w:object>
      </w:r>
      <w:r>
        <w:t xml:space="preserve"> – </w:t>
      </w:r>
      <w:r>
        <w:rPr>
          <w:rFonts w:ascii="Times New Roman CYR" w:hAnsi="Times New Roman CYR"/>
        </w:rPr>
        <w:t>интегральный технико-</w:t>
      </w:r>
      <w:r>
        <w:t>экономический показатель аналога.</w:t>
      </w:r>
    </w:p>
    <w:p w:rsidR="007562B2" w:rsidRDefault="007562B2">
      <w:pPr>
        <w:ind w:firstLine="540"/>
      </w:pPr>
    </w:p>
    <w:p w:rsidR="007562B2" w:rsidRDefault="007562B2">
      <w:pPr>
        <w:jc w:val="right"/>
      </w:pPr>
      <w:r>
        <w:rPr>
          <w:bCs/>
        </w:rPr>
        <w:t>Таблица 4.10</w:t>
      </w:r>
    </w:p>
    <w:p w:rsidR="007562B2" w:rsidRDefault="007562B2">
      <w:pPr>
        <w:ind w:firstLine="0"/>
        <w:jc w:val="center"/>
        <w:rPr>
          <w:bCs/>
        </w:rPr>
      </w:pPr>
      <w:r>
        <w:t>Оценка технико-экономической эффективности проекта</w:t>
      </w:r>
    </w:p>
    <w:tbl>
      <w:tblPr>
        <w:tblW w:w="4917" w:type="pct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31"/>
        <w:gridCol w:w="1468"/>
        <w:gridCol w:w="1497"/>
        <w:gridCol w:w="1137"/>
        <w:gridCol w:w="1223"/>
        <w:gridCol w:w="1193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" w:type="pct"/>
            <w:vMerge w:val="restar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374" w:type="pct"/>
            <w:vMerge w:val="restar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Параметры и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стики</w:t>
            </w:r>
          </w:p>
        </w:tc>
        <w:tc>
          <w:tcPr>
            <w:tcW w:w="766" w:type="pct"/>
            <w:vMerge w:val="restar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Весовой</w:t>
            </w:r>
          </w:p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коэффицент</w:t>
            </w:r>
          </w:p>
        </w:tc>
        <w:tc>
          <w:tcPr>
            <w:tcW w:w="1368" w:type="pct"/>
            <w:gridSpan w:val="2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Аналог</w:t>
            </w:r>
          </w:p>
        </w:tc>
        <w:tc>
          <w:tcPr>
            <w:tcW w:w="1213" w:type="pct"/>
            <w:gridSpan w:val="2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" w:type="pct"/>
            <w:vMerge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показтель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Быстродействие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Надежность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Объем аппарат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  <w:vertAlign w:val="subscript"/>
              </w:rPr>
            </w:pPr>
            <w:r>
              <w:rPr>
                <w:position w:val="-12"/>
                <w:sz w:val="24"/>
                <w:lang w:val="en-US"/>
              </w:rPr>
              <w:object w:dxaOrig="300" w:dyaOrig="380">
                <v:shape id="_x0000_i1089" type="#_x0000_t75" style="width:14.9pt;height:18.85pt" o:ole="">
                  <v:imagedata r:id="rId129" o:title=""/>
                </v:shape>
                <o:OLEObject Type="Embed" ProgID="Equation.3" ShapeID="_x0000_i1089" DrawAspect="Content" ObjectID="_1633867656" r:id="rId130"/>
              </w:objec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  <w:vertAlign w:val="subscript"/>
              </w:rPr>
            </w:pPr>
            <w:r>
              <w:rPr>
                <w:position w:val="-12"/>
                <w:sz w:val="24"/>
                <w:lang w:val="en-US"/>
              </w:rPr>
              <w:object w:dxaOrig="320" w:dyaOrig="380">
                <v:shape id="_x0000_i1090" type="#_x0000_t75" style="width:15.9pt;height:18.85pt" o:ole="">
                  <v:imagedata r:id="rId131" o:title=""/>
                </v:shape>
                <o:OLEObject Type="Embed" ProgID="Equation.3" ShapeID="_x0000_i1090" DrawAspect="Content" ObjectID="_1633867657" r:id="rId132"/>
              </w:objec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89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4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420" w:dyaOrig="380">
                <v:shape id="_x0000_i1091" type="#_x0000_t75" style="width:20.85pt;height:18.85pt" o:ole="">
                  <v:imagedata r:id="rId133" o:title=""/>
                </v:shape>
                <o:OLEObject Type="Embed" ProgID="Equation.3" ShapeID="_x0000_i1091" DrawAspect="Content" ObjectID="_1633867658" r:id="rId134"/>
              </w:objec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7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89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4" w:type="pct"/>
            <w:vAlign w:val="center"/>
          </w:tcPr>
          <w:p w:rsidR="007562B2" w:rsidRDefault="007562B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756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b/>
                <w:sz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2B2" w:rsidRDefault="007562B2">
            <w:pPr>
              <w:ind w:firstLine="0"/>
              <w:rPr>
                <w:b/>
                <w:sz w:val="24"/>
              </w:rPr>
            </w:pPr>
            <w:r>
              <w:rPr>
                <w:b/>
                <w:position w:val="-16"/>
                <w:sz w:val="24"/>
              </w:rPr>
              <w:object w:dxaOrig="420" w:dyaOrig="420">
                <v:shape id="_x0000_i1092" type="#_x0000_t75" style="width:20.85pt;height:20.85pt" o:ole="">
                  <v:imagedata r:id="rId135" o:title=""/>
                </v:shape>
                <o:OLEObject Type="Embed" ProgID="Equation.3" ShapeID="_x0000_i1092" DrawAspect="Content" ObjectID="_1633867659" r:id="rId136"/>
              </w:objec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7562B2" w:rsidRDefault="007562B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7" w:type="pct"/>
            <w:vAlign w:val="center"/>
          </w:tcPr>
          <w:p w:rsidR="007562B2" w:rsidRDefault="007562B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9" w:type="pct"/>
            <w:vAlign w:val="center"/>
          </w:tcPr>
          <w:p w:rsidR="007562B2" w:rsidRDefault="007562B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4" w:type="pct"/>
            <w:vAlign w:val="center"/>
          </w:tcPr>
          <w:p w:rsidR="007562B2" w:rsidRDefault="007562B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</w:tr>
    </w:tbl>
    <w:p w:rsidR="007562B2" w:rsidRDefault="007562B2"/>
    <w:p w:rsidR="007562B2" w:rsidRDefault="007562B2">
      <w:pPr>
        <w:pStyle w:val="2"/>
        <w:spacing w:after="0"/>
      </w:pPr>
      <w:bookmarkStart w:id="66" w:name="_Toc89169521"/>
      <w:bookmarkStart w:id="67" w:name="_Toc89170689"/>
      <w:bookmarkStart w:id="68" w:name="_Toc89170747"/>
      <w:bookmarkStart w:id="69" w:name="_Toc99193598"/>
      <w:r>
        <w:t>4.7. Продвижение разработки и организация производства предлаг</w:t>
      </w:r>
      <w:r>
        <w:t>а</w:t>
      </w:r>
      <w:r>
        <w:t>емого устройства на предприятии-изготовителе</w:t>
      </w:r>
      <w:bookmarkEnd w:id="66"/>
      <w:bookmarkEnd w:id="67"/>
      <w:bookmarkEnd w:id="68"/>
      <w:bookmarkEnd w:id="69"/>
    </w:p>
    <w:p w:rsidR="007562B2" w:rsidRDefault="007562B2"/>
    <w:p w:rsidR="007562B2" w:rsidRDefault="007562B2">
      <w:r>
        <w:t>Как отмечалось в п.3.1, область применения устройств корреляционной обработки сигналов достаточно велика. В сравнении с уже существующими устройствами разрабатываемое имеет ряд существенных достоинств: небол</w:t>
      </w:r>
      <w:r>
        <w:t>ь</w:t>
      </w:r>
      <w:r>
        <w:t>шие массу и габариты, малую потребляемую мощность и очень высокую надежность, тем самым, позволяя решать ряд общих задач современной техн</w:t>
      </w:r>
      <w:r>
        <w:t>и</w:t>
      </w:r>
      <w:r>
        <w:t>ки, такие как: миниатюризация, высокая надежность и низкое энергопотребл</w:t>
      </w:r>
      <w:r>
        <w:t>е</w:t>
      </w:r>
      <w:r>
        <w:t xml:space="preserve">ние. Все эти достоинства расширяют возможности применения этих устройств </w:t>
      </w:r>
      <w:r>
        <w:lastRenderedPageBreak/>
        <w:t>и, как следствие, создают новый уровень возможностей вычислительной техн</w:t>
      </w:r>
      <w:r>
        <w:t>и</w:t>
      </w:r>
      <w:r>
        <w:t>ки. В случае реализации грамотной маркетинговой политики спрос на разраб</w:t>
      </w:r>
      <w:r>
        <w:t>а</w:t>
      </w:r>
      <w:r>
        <w:t>тываемое устройство может быть существенно увеличен, и может быть даже реализована стратегия тотального з</w:t>
      </w:r>
      <w:r>
        <w:t>а</w:t>
      </w:r>
      <w:r>
        <w:t>хвата рынка сбыта.</w:t>
      </w:r>
    </w:p>
    <w:p w:rsidR="007562B2" w:rsidRDefault="007562B2">
      <w:r>
        <w:t>Исходя из неоспоримых достоинств разработки основным ее заказчиком, без сомнения, является военно-промышленный комплекс, т.к. характеристики разработанного устройства удовлетворяют жестким требованиям военной те</w:t>
      </w:r>
      <w:r>
        <w:t>х</w:t>
      </w:r>
      <w:r>
        <w:t>ники. Немалая доля заказов будет приходиться на гражданскую технику, так, например, ожидается широкое использование этих устройств в локационных и навигационных системах, системе управления и обработки информации, а та</w:t>
      </w:r>
      <w:r>
        <w:t>к</w:t>
      </w:r>
      <w:r>
        <w:t>же в медицинской те</w:t>
      </w:r>
      <w:r>
        <w:t>х</w:t>
      </w:r>
      <w:r>
        <w:t>нике.</w:t>
      </w:r>
    </w:p>
    <w:p w:rsidR="007562B2" w:rsidRDefault="007562B2">
      <w:r>
        <w:t>Из вышеизложенного можно заключить, что объем серийного произво</w:t>
      </w:r>
      <w:r>
        <w:t>д</w:t>
      </w:r>
      <w:r>
        <w:t>ства предлагаемого устройства корреляционной обработки сигналов может с</w:t>
      </w:r>
      <w:r>
        <w:t>о</w:t>
      </w:r>
      <w:r>
        <w:t>ставить до 10 000 штук в год, что соответствует серийному производству.</w:t>
      </w:r>
    </w:p>
    <w:p w:rsidR="007562B2" w:rsidRDefault="007562B2">
      <w:r>
        <w:t xml:space="preserve"> Для увеличения спроса можно предложить ряд мероприятий по продв</w:t>
      </w:r>
      <w:r>
        <w:t>и</w:t>
      </w:r>
      <w:r>
        <w:t>жению, таких как:</w:t>
      </w:r>
    </w:p>
    <w:p w:rsidR="007562B2" w:rsidRDefault="007562B2">
      <w:r>
        <w:t>1) участие в соответствующих выставках, конференциях, семинарах, с</w:t>
      </w:r>
      <w:r>
        <w:t>о</w:t>
      </w:r>
      <w:r>
        <w:t>вещан</w:t>
      </w:r>
      <w:r>
        <w:t>и</w:t>
      </w:r>
      <w:r>
        <w:t>ях;</w:t>
      </w:r>
    </w:p>
    <w:p w:rsidR="007562B2" w:rsidRDefault="007562B2">
      <w:r>
        <w:t>2) предоставление всей информации потенциальным пре</w:t>
      </w:r>
      <w:r>
        <w:t>д</w:t>
      </w:r>
      <w:r>
        <w:t>приятиям-заказчикам с применением различных методов;</w:t>
      </w:r>
    </w:p>
    <w:p w:rsidR="007562B2" w:rsidRDefault="007562B2">
      <w:r>
        <w:t>3) личные контакты руководителей предприятия-изготовителя и потенц</w:t>
      </w:r>
      <w:r>
        <w:t>и</w:t>
      </w:r>
      <w:r>
        <w:t>ального пре</w:t>
      </w:r>
      <w:r>
        <w:t>д</w:t>
      </w:r>
      <w:r>
        <w:t>приятия-заказчика.</w:t>
      </w:r>
    </w:p>
    <w:p w:rsidR="007562B2" w:rsidRDefault="007562B2">
      <w:r>
        <w:t>После заключения соответствующих контрактов и определения величины заказа предстоит осуществить подготовку производства. Этот процесс состоит из сл</w:t>
      </w:r>
      <w:r>
        <w:t>е</w:t>
      </w:r>
      <w:r>
        <w:t>дующих этапов:</w:t>
      </w:r>
    </w:p>
    <w:p w:rsidR="007562B2" w:rsidRDefault="007562B2">
      <w:r>
        <w:t>- конструкторская подготовка;</w:t>
      </w:r>
    </w:p>
    <w:p w:rsidR="007562B2" w:rsidRDefault="007562B2">
      <w:r>
        <w:t>- технологическая подготовка;</w:t>
      </w:r>
    </w:p>
    <w:p w:rsidR="007562B2" w:rsidRDefault="007562B2">
      <w:r>
        <w:t>- организационная подготовка.</w:t>
      </w:r>
    </w:p>
    <w:p w:rsidR="007562B2" w:rsidRDefault="007562B2">
      <w:r>
        <w:t>Логика подготовки производства отражена в сетевом графе, представл</w:t>
      </w:r>
      <w:r>
        <w:t>я</w:t>
      </w:r>
      <w:r>
        <w:t>ющем собой информационно-динамическую модель, в которой отражаются взаимосвязи и результаты всех работ, необходимых для коммерческой реализ</w:t>
      </w:r>
      <w:r>
        <w:t>а</w:t>
      </w:r>
      <w:r>
        <w:t>ции разработки. Сетевой граф подготовки производства представлен на рис. 4.3. Далее приведены поясн</w:t>
      </w:r>
      <w:r>
        <w:t>е</w:t>
      </w:r>
      <w:r>
        <w:t>ния к рисунку.</w:t>
      </w:r>
    </w:p>
    <w:p w:rsidR="007562B2" w:rsidRDefault="007562B2"/>
    <w:p w:rsidR="007562B2" w:rsidRDefault="007562B2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Перечень событий по графу подготовки производства на действующем пре</w:t>
      </w:r>
      <w:r>
        <w:rPr>
          <w:sz w:val="24"/>
          <w:szCs w:val="24"/>
          <w:u w:val="single"/>
        </w:rPr>
        <w:t>д</w:t>
      </w:r>
      <w:r>
        <w:rPr>
          <w:sz w:val="24"/>
          <w:szCs w:val="24"/>
          <w:u w:val="single"/>
        </w:rPr>
        <w:t>приятии: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00 - конструкторская документация на новое изделие получена заводом - изготовит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01 - закончена проверка комплектности конструкторской документации,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02 - конструкторская документация отработана в соответствии с особенностями зав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да-изготовителя и по замечаниям о нетехноло</w:t>
      </w:r>
      <w:r>
        <w:rPr>
          <w:sz w:val="24"/>
          <w:szCs w:val="24"/>
        </w:rPr>
        <w:softHyphen/>
        <w:t>гичности,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03 - закончена проверка конструкторской документации на техноло</w:t>
      </w:r>
      <w:r>
        <w:rPr>
          <w:sz w:val="24"/>
          <w:szCs w:val="24"/>
        </w:rPr>
        <w:softHyphen/>
        <w:t>гичность,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04 - замечания по нетехнологичности переданы в ОГК,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05 - разработана программа обеспечения качества изделия,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06 - разработана программа метрологического обеспечения производства,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07 - определена номенклатура техпроцессов, подлежащих разработке,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08 - закончено распределение номенклатуры деталей и сборочных единиц между цех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09 - разработаны технологические маршруты и техпроцессы,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10 - закончено проектирование оснастки и спецоборудования,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11 - определена потребность в дополнительном оборудовании,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12 - определена производственная программа,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13 - оснастка изготовлена,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14 - оснастка опробована,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15 - дополнительное оборудование приобретено,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16 - техпроцессы пронормированы,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17 - материальная ведомость разработана,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18 - материалы заказаны,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19 - ведомость покупных изделий получена отделом кооперации,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20 - комплектующие изделия и полуфабрикаты заказаны,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21 - финансовый план составлен,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22 - сбор данных по ценообразованию закончен,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23 - цена на изделие определена,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24 - договоры с потребителями заключены,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25 - определена потребность в рабочей силе,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26 - новые рабочие наняты,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27 - дополнительное оборудование смонтировано,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28 - новое оборудование опробовано,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29 - конструкторская документация выдана в цеха,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30 - материалы получены,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31 - покупные изделия получены,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32 - метрологическое обеспечение опробовано,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33 - спецификации, техпроцессы и производственная программа получены ПДО,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34 - оперативно-производственное планирование закончено,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35 - программа обеспечения качества получена ОТК,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36 - графики производства выданы в цехи,</w:t>
      </w:r>
    </w:p>
    <w:p w:rsidR="007562B2" w:rsidRDefault="007562B2">
      <w:pPr>
        <w:ind w:firstLine="360"/>
      </w:pPr>
      <w:r>
        <w:rPr>
          <w:sz w:val="24"/>
          <w:szCs w:val="24"/>
        </w:rPr>
        <w:t>37 - производство готово к началу изготовления опытной партии.</w:t>
      </w:r>
    </w:p>
    <w:p w:rsidR="007562B2" w:rsidRDefault="007562B2">
      <w:pPr>
        <w:ind w:firstLine="360"/>
        <w:rPr>
          <w:sz w:val="24"/>
          <w:szCs w:val="24"/>
          <w:u w:val="single"/>
        </w:rPr>
      </w:pPr>
    </w:p>
    <w:p w:rsidR="007562B2" w:rsidRDefault="007562B2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Перечень работ по сетевому графу подготовки производства на действующем предпри</w:t>
      </w:r>
      <w:r>
        <w:rPr>
          <w:sz w:val="24"/>
          <w:szCs w:val="24"/>
          <w:u w:val="single"/>
        </w:rPr>
        <w:t>я</w:t>
      </w:r>
      <w:r>
        <w:rPr>
          <w:sz w:val="24"/>
          <w:szCs w:val="24"/>
          <w:u w:val="single"/>
        </w:rPr>
        <w:t>тии и их исполнители: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00-01 - проверка документации на комплектность (ОГК),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00-12 - определение производственной программы (ОМ, ПЭО),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01-02 - внесение изменений в документацию в соответствии с особенностями произво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 (ОГК),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01-03 - проверка конструкторской документации на технологичность (ОГК),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02-05 - разработка программы обеспечения качества (ОГК, ОГТ, ОТК),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02-06 - разработка программы метрологического обеспечения производства  (ОГМет),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02-19 - передача ведомости попутных ОКооп (ОГК),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02-22 - передача ведомости покупных ПЭО (ОГК),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02-29 - выдача конструкторской документации в цеха (ОГК),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02-33 - передача спецификаций ПДО (ОГК),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03-04 - передача замечаний по нетехнологичности ОГК (ОГТ),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03-07 - определение номенклатуры техпроцессов, подлежащих разра</w:t>
      </w:r>
      <w:r>
        <w:rPr>
          <w:sz w:val="24"/>
          <w:szCs w:val="24"/>
        </w:rPr>
        <w:softHyphen/>
        <w:t>ботке  (ОГТ),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04-02 - внесение изменений в конструкторскую документацию в соответствии с замеч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 о нетехнологичности  (ОГК),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05-35 - передача программы обеспечения качества ОТК (ОГК),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06-22 - передача данных по дополнительному метрологическому обеспечению ПЭО (ОГМет),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06-32 - опробование метрологического обеспечения (ОГМет),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07-08 - распределение номенклатуры деталей и сборочных единиц между цехами (ОГТ),</w:t>
      </w:r>
    </w:p>
    <w:p w:rsidR="007562B2" w:rsidRDefault="007562B2">
      <w:pPr>
        <w:ind w:firstLine="0"/>
        <w:jc w:val="center"/>
      </w:pPr>
      <w:r>
        <w:object w:dxaOrig="7884" w:dyaOrig="12801">
          <v:shape id="_x0000_i1093" type="#_x0000_t75" style="width:394.25pt;height:640.05pt" o:ole="">
            <v:imagedata r:id="rId137" o:title=""/>
          </v:shape>
          <o:OLEObject Type="Embed" ProgID="Visio.Drawing.11" ShapeID="_x0000_i1093" DrawAspect="Content" ObjectID="_1633867660" r:id="rId138"/>
        </w:object>
      </w:r>
    </w:p>
    <w:p w:rsidR="007562B2" w:rsidRDefault="007562B2"/>
    <w:p w:rsidR="007562B2" w:rsidRDefault="007562B2">
      <w:pPr>
        <w:jc w:val="center"/>
      </w:pPr>
      <w:r>
        <w:t>Рис. 4.3. Сетевой граф подготовки производства</w:t>
      </w:r>
    </w:p>
    <w:p w:rsidR="007562B2" w:rsidRDefault="007562B2">
      <w:pPr>
        <w:jc w:val="center"/>
        <w:rPr>
          <w:sz w:val="16"/>
        </w:rPr>
      </w:pP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08-09 - разработка технологических маршрутов и процессов (ОГТ),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09-10 - проектирование оснастки и спецоборудования (ОГТ, ОМА),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09-11 - определение потребности в дополнительном оборудовании (ОГТ, ОГМ),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09-16 - нормирование технологических процессов (ОТиЗ),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09-17 - составление материальной ведомости (ОГТ),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09-33 - передача данных по техпроцессам ПДО (ОГТ),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09-37 - выдача технологической документации цехам (ОГТ),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10-13 - изготовление оснастки (вспомогательные цеха),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10-22 - передача данных по затратам на оснастку ПЭО (ОГТ),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11-15 - приобретение дополнительного оборудования (ОКС),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11-22 - передача данных по дополнительному оборудованию ПЭО (ОГТ),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12-17 - передача производственной программы ОМТС (ПЭО),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12-19 - передача производственной программы ОКооп (ПЭО),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12-21 - составление финансового плана (ФО),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12-24 - передача программы ОМ (ПЭО),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12-33 - передача производственной программы ПДО (ПЭО),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13-14 - опробование оснастки (ОГТ, ОМА),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14-37 - передача оснастки цехам (ОМА),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15-27 - установка и монтаж дополнительного оборудования (ОГМ,ОГЭ),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16-22 - расчет фонда заработной платы (ОТиЗ),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16-25 - определение потребности в дополнительной рабочей силе (ОТиЗ),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17-18 - заказ материалов (ОМТС),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17-22 - передача материальной ведомости ПЭО (ОГТ),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18-30 - приобретение материалов (ОМТС),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19-20 - заказ комплектующих изделий и полуфабрикатов (ОКооп),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20-31 - получение покупных изделий (ОКооп),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21-22 - предоставление финансового плана ПЭО (ФО),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22-23 - определение цены изделия (ПЭО),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23-24 - заключение договоров с потребителями (ОМ),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24-36 - выдача информации о договорах ПДО (ФО),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25-26 - наем и обучение новых рабочих (ОК, ОПК),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26-37 - направление новых рабочих в цеха (ОК),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27-28 - опробование оборудования (ОГМ, ОГЭ),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28-37 - передача оборудования цехам (ОГМ, ОГЭ),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29-37 - комплектация конструкторской документации в цехах (ЧРК в цехах),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30-37 - выдача материалов цехам (ОМТС),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31-37 - выдача покупных изделий цехам (ОКооп),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32-37 - выдача метрологического оборудования цехам (ОГМет),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33-34 - оперативно-производственное планирование (ПДО),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34-36 - выдача графиков производства цехам (ПДО),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35-37 - подготовка контролеров и контрольного оборудования (ОТК),</w:t>
      </w:r>
    </w:p>
    <w:p w:rsidR="007562B2" w:rsidRDefault="007562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36-37 - корректировка производственных графиков в соответствии с заключенными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ворами (ПДО).</w:t>
      </w:r>
    </w:p>
    <w:p w:rsidR="007562B2" w:rsidRDefault="007562B2">
      <w:pPr>
        <w:rPr>
          <w:sz w:val="24"/>
          <w:szCs w:val="24"/>
        </w:rPr>
      </w:pPr>
    </w:p>
    <w:p w:rsidR="007562B2" w:rsidRDefault="007562B2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Расшифровка сокращенных наименований подразделений:</w:t>
      </w:r>
    </w:p>
    <w:tbl>
      <w:tblPr>
        <w:tblW w:w="496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909"/>
      </w:tblGrid>
      <w:tr w:rsidR="007562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0" w:type="pct"/>
          </w:tcPr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ОГК</w:t>
            </w:r>
            <w:r>
              <w:rPr>
                <w:sz w:val="24"/>
                <w:szCs w:val="24"/>
              </w:rPr>
              <w:t> - отдел главного конструкт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ОГТ</w:t>
            </w:r>
            <w:r>
              <w:rPr>
                <w:sz w:val="24"/>
                <w:szCs w:val="24"/>
              </w:rPr>
              <w:t> - отдел главного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лога,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</w:t>
            </w:r>
            <w:r>
              <w:rPr>
                <w:sz w:val="24"/>
                <w:szCs w:val="24"/>
              </w:rPr>
              <w:t> - отдел технического контр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ля,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ОГМет</w:t>
            </w:r>
            <w:r>
              <w:rPr>
                <w:sz w:val="24"/>
                <w:szCs w:val="24"/>
              </w:rPr>
              <w:t> - отдел главного метрол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ОГМ</w:t>
            </w:r>
            <w:r>
              <w:rPr>
                <w:sz w:val="24"/>
                <w:szCs w:val="24"/>
              </w:rPr>
              <w:t> - отдел главного мех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ника,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 - отдел маркетинга,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ПЭО</w:t>
            </w:r>
            <w:r>
              <w:rPr>
                <w:sz w:val="24"/>
                <w:szCs w:val="24"/>
              </w:rPr>
              <w:t> - планово-экономический отдел,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ОМА</w:t>
            </w:r>
            <w:r>
              <w:rPr>
                <w:sz w:val="24"/>
                <w:szCs w:val="24"/>
              </w:rPr>
              <w:t> - отдел механизации и автоматиз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</w:t>
            </w:r>
            <w:r>
              <w:rPr>
                <w:sz w:val="24"/>
                <w:szCs w:val="24"/>
              </w:rPr>
              <w:t> - отдел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ОТиЗ</w:t>
            </w:r>
            <w:r>
              <w:rPr>
                <w:sz w:val="24"/>
                <w:szCs w:val="24"/>
              </w:rPr>
              <w:t> - отдел труда и зарабо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платы</w:t>
            </w:r>
          </w:p>
        </w:tc>
        <w:tc>
          <w:tcPr>
            <w:tcW w:w="2530" w:type="pct"/>
          </w:tcPr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ОМТС</w:t>
            </w:r>
            <w:r>
              <w:rPr>
                <w:sz w:val="24"/>
                <w:szCs w:val="24"/>
              </w:rPr>
              <w:t> - отдел материально-технического снабжения,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ОКооп</w:t>
            </w:r>
            <w:r>
              <w:rPr>
                <w:sz w:val="24"/>
                <w:szCs w:val="24"/>
              </w:rPr>
              <w:t> - отдел кооперации,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 - отдел кадров,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 - отдел подготовки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> - отдел главного энерг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тика,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ПДО</w:t>
            </w:r>
            <w:r>
              <w:rPr>
                <w:sz w:val="24"/>
                <w:szCs w:val="24"/>
              </w:rPr>
              <w:t> - производственно-диспетчерский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 - финансовый отдел,</w:t>
            </w:r>
          </w:p>
          <w:p w:rsidR="007562B2" w:rsidRDefault="007562B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ЧРК - </w:t>
            </w:r>
            <w:r>
              <w:rPr>
                <w:sz w:val="24"/>
                <w:szCs w:val="24"/>
              </w:rPr>
              <w:t>чертежно-распределительная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тора</w:t>
            </w:r>
          </w:p>
        </w:tc>
      </w:tr>
    </w:tbl>
    <w:p w:rsidR="007562B2" w:rsidRDefault="007562B2">
      <w:pPr>
        <w:pStyle w:val="2"/>
        <w:spacing w:after="0"/>
      </w:pPr>
      <w:bookmarkStart w:id="70" w:name="_Toc99193599"/>
      <w:r>
        <w:lastRenderedPageBreak/>
        <w:t>4.8. Заключение</w:t>
      </w:r>
      <w:bookmarkEnd w:id="70"/>
    </w:p>
    <w:p w:rsidR="007562B2" w:rsidRDefault="007562B2">
      <w:r>
        <w:t>В разделе технико-экономического обоснования проведен анализ необх</w:t>
      </w:r>
      <w:r>
        <w:t>о</w:t>
      </w:r>
      <w:r>
        <w:t>димости и актуальности разработки устройства обработки информации на п</w:t>
      </w:r>
      <w:r>
        <w:t>о</w:t>
      </w:r>
      <w:r>
        <w:t>верхностных акустических волнах, основанного на встречном нелинейном вз</w:t>
      </w:r>
      <w:r>
        <w:t>а</w:t>
      </w:r>
      <w:r>
        <w:t>имодействии сигналов в пьезоэлектрических кристаллах. Использование н</w:t>
      </w:r>
      <w:r>
        <w:t>о</w:t>
      </w:r>
      <w:r>
        <w:t>вого физического принципа при создании подобных устройств позволило д</w:t>
      </w:r>
      <w:r>
        <w:t>о</w:t>
      </w:r>
      <w:r>
        <w:t>биться ряда существенных достоинств по сравнению с уже существующими: знач</w:t>
      </w:r>
      <w:r>
        <w:t>и</w:t>
      </w:r>
      <w:r>
        <w:t>тельно меньшие массу и объем аппаратуры, значительно низкую потре</w:t>
      </w:r>
      <w:r>
        <w:t>б</w:t>
      </w:r>
      <w:r>
        <w:t>ляемую мощность и значительно более высокую надежность. Эти достоинства расш</w:t>
      </w:r>
      <w:r>
        <w:t>и</w:t>
      </w:r>
      <w:r>
        <w:t>ряют возможности применения этих устройств и создают новый уровень во</w:t>
      </w:r>
      <w:r>
        <w:t>з</w:t>
      </w:r>
      <w:r>
        <w:t>можностей вычислительной техники.</w:t>
      </w:r>
    </w:p>
    <w:p w:rsidR="007562B2" w:rsidRDefault="007562B2">
      <w:r>
        <w:t>В качестве базы для сравнения с разработкой выбрано не конкретное р</w:t>
      </w:r>
      <w:r>
        <w:t>а</w:t>
      </w:r>
      <w:r>
        <w:t>диоэлектронное устройство, а ввиду закрытости и ограниченности существу</w:t>
      </w:r>
      <w:r>
        <w:t>ю</w:t>
      </w:r>
      <w:r>
        <w:t>щих сведений, обобщенное аналоговое устройство обработки информации, п</w:t>
      </w:r>
      <w:r>
        <w:t>о</w:t>
      </w:r>
      <w:r>
        <w:t>лученное на основе структурной схемы и выполненное из радиоэлектронных компонентов.</w:t>
      </w:r>
    </w:p>
    <w:p w:rsidR="007562B2" w:rsidRDefault="007562B2">
      <w:r>
        <w:t>Сопоставление аналога с разработкой и расчет интегральных технических и стоимостных показателей, что, несмотря на более высокую цену потребления, разработка обладает значительно более высокими техническими характерист</w:t>
      </w:r>
      <w:r>
        <w:t>и</w:t>
      </w:r>
      <w:r>
        <w:t>ками.</w:t>
      </w:r>
    </w:p>
    <w:p w:rsidR="007562B2" w:rsidRDefault="007562B2">
      <w:r>
        <w:t>Сравнительная технико-экономическая эффективность разработки имеет значение 4.0, что свидетельствует о прорывном характере разработки, ее во</w:t>
      </w:r>
      <w:r>
        <w:t>с</w:t>
      </w:r>
      <w:r>
        <w:t>требованности потребителем и успешной коммерческой реализации проекта по серийному произво</w:t>
      </w:r>
      <w:r>
        <w:t>д</w:t>
      </w:r>
      <w:r>
        <w:t>ству предлагаемых устройств.</w:t>
      </w:r>
    </w:p>
    <w:p w:rsidR="007562B2" w:rsidRDefault="007562B2"/>
    <w:p w:rsidR="007562B2" w:rsidRDefault="007562B2">
      <w:pPr>
        <w:rPr>
          <w:b/>
          <w:bCs/>
        </w:rPr>
      </w:pPr>
      <w:bookmarkStart w:id="71" w:name="_Toc89169522"/>
      <w:bookmarkStart w:id="72" w:name="_Toc89170690"/>
      <w:bookmarkStart w:id="73" w:name="_Toc89170748"/>
      <w:r>
        <w:rPr>
          <w:b/>
          <w:bCs/>
        </w:rPr>
        <w:t>БЛАГОДАРНОСТИ</w:t>
      </w:r>
      <w:bookmarkEnd w:id="71"/>
      <w:bookmarkEnd w:id="72"/>
      <w:bookmarkEnd w:id="73"/>
    </w:p>
    <w:p w:rsidR="007562B2" w:rsidRDefault="007562B2">
      <w:pPr>
        <w:rPr>
          <w:rFonts w:ascii="Times New Roman CYR" w:hAnsi="Times New Roman CYR"/>
        </w:rPr>
      </w:pP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Выражаю благодарность заведующему кафедры Экономики ТРТУ пр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фессору М. А. Боровской и доценту этой же кафедры Ю. И. Ребрину за неп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средственное участие в подготовке к изданию настоящего методического пос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бия, а также сотруднику кафедры Экономики ТРТУ Е. В. Пономаревой, ок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завшей неоценимую помощь в его верстке.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Большую благодарность выражаю доценту кафедры Экономики ТРТУ Е. Г. Непомнящему за мудрые советы и ценные замечания.</w:t>
      </w:r>
    </w:p>
    <w:p w:rsidR="007562B2" w:rsidRDefault="007562B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Особую благодарность выражаю профессору кафедры Менеджмента ТРТУ Г. Я. Гольдштейну как идейному наставнику, чей опыт позволил сфо</w:t>
      </w:r>
      <w:r>
        <w:rPr>
          <w:rFonts w:ascii="Times New Roman CYR" w:hAnsi="Times New Roman CYR"/>
        </w:rPr>
        <w:t>р</w:t>
      </w:r>
      <w:r>
        <w:rPr>
          <w:rFonts w:ascii="Times New Roman CYR" w:hAnsi="Times New Roman CYR"/>
        </w:rPr>
        <w:t>мировать настоящий подход к технико-экономическому обоснованию разраб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ток.</w:t>
      </w:r>
    </w:p>
    <w:p w:rsidR="007562B2" w:rsidRDefault="007562B2">
      <w:pPr>
        <w:pStyle w:val="1"/>
      </w:pPr>
      <w:r>
        <w:br w:type="page"/>
      </w:r>
      <w:bookmarkStart w:id="74" w:name="_Toc99193600"/>
      <w:r>
        <w:lastRenderedPageBreak/>
        <w:t>Библиографический список</w:t>
      </w:r>
      <w:bookmarkEnd w:id="74"/>
    </w:p>
    <w:p w:rsidR="007562B2" w:rsidRDefault="007562B2">
      <w:pPr>
        <w:rPr>
          <w:szCs w:val="28"/>
        </w:rPr>
      </w:pPr>
    </w:p>
    <w:p w:rsidR="007562B2" w:rsidRDefault="007562B2">
      <w:pPr>
        <w:rPr>
          <w:szCs w:val="28"/>
        </w:rPr>
      </w:pPr>
      <w:r>
        <w:rPr>
          <w:szCs w:val="28"/>
        </w:rPr>
        <w:t>1. Брусницин Ю.В. Методические указания по выполнению курсовых и дипломных проектов  на тему «Экономическое обоснование инженерных ра</w:t>
      </w:r>
      <w:r>
        <w:rPr>
          <w:szCs w:val="28"/>
        </w:rPr>
        <w:t>з</w:t>
      </w:r>
      <w:r>
        <w:rPr>
          <w:szCs w:val="28"/>
        </w:rPr>
        <w:t xml:space="preserve">работок». – </w:t>
      </w:r>
      <w:r>
        <w:rPr>
          <w:rFonts w:ascii="Times New Roman CYR" w:hAnsi="Times New Roman CYR"/>
          <w:szCs w:val="28"/>
        </w:rPr>
        <w:t>Т</w:t>
      </w:r>
      <w:r>
        <w:rPr>
          <w:rFonts w:ascii="Times New Roman CYR" w:hAnsi="Times New Roman CYR"/>
          <w:szCs w:val="28"/>
        </w:rPr>
        <w:t>а</w:t>
      </w:r>
      <w:r>
        <w:rPr>
          <w:rFonts w:ascii="Times New Roman CYR" w:hAnsi="Times New Roman CYR"/>
          <w:szCs w:val="28"/>
        </w:rPr>
        <w:t xml:space="preserve">ганрог: </w:t>
      </w:r>
      <w:r>
        <w:rPr>
          <w:szCs w:val="28"/>
        </w:rPr>
        <w:t xml:space="preserve">Изд-во </w:t>
      </w:r>
      <w:r>
        <w:rPr>
          <w:rFonts w:ascii="Times New Roman CYR" w:hAnsi="Times New Roman CYR"/>
          <w:szCs w:val="28"/>
        </w:rPr>
        <w:t>ТРТУ. 1993.</w:t>
      </w:r>
    </w:p>
    <w:p w:rsidR="007562B2" w:rsidRDefault="007562B2">
      <w:pPr>
        <w:rPr>
          <w:szCs w:val="28"/>
        </w:rPr>
      </w:pPr>
      <w:r>
        <w:rPr>
          <w:szCs w:val="28"/>
        </w:rPr>
        <w:t>2. Гольдштейн Г.Я.  Инновационный менеджмент: Учебное пособие. - Т</w:t>
      </w:r>
      <w:r>
        <w:rPr>
          <w:szCs w:val="28"/>
        </w:rPr>
        <w:t>а</w:t>
      </w:r>
      <w:r>
        <w:rPr>
          <w:szCs w:val="28"/>
        </w:rPr>
        <w:t>ганрог: Изд-во ТРТУ. 1998.</w:t>
      </w:r>
    </w:p>
    <w:p w:rsidR="007562B2" w:rsidRDefault="007562B2">
      <w:pPr>
        <w:rPr>
          <w:szCs w:val="28"/>
        </w:rPr>
      </w:pPr>
      <w:r>
        <w:rPr>
          <w:szCs w:val="28"/>
        </w:rPr>
        <w:t>3. Гольдштейн Г.Я. Стратегические аспекты управления НИОКР: Мон</w:t>
      </w:r>
      <w:r>
        <w:rPr>
          <w:szCs w:val="28"/>
        </w:rPr>
        <w:t>о</w:t>
      </w:r>
      <w:r>
        <w:rPr>
          <w:szCs w:val="28"/>
        </w:rPr>
        <w:t>графия. Таганрог: Изд-во ТРТУ, 2000</w:t>
      </w:r>
    </w:p>
    <w:p w:rsidR="007562B2" w:rsidRDefault="007562B2">
      <w:pPr>
        <w:rPr>
          <w:szCs w:val="28"/>
        </w:rPr>
      </w:pPr>
      <w:r>
        <w:rPr>
          <w:szCs w:val="28"/>
        </w:rPr>
        <w:t>4. Гольдштейн Г.Я.  Основы менеджмента: учебное пособие. - Таганрог: Изд-во ТРТУ. 2003.</w:t>
      </w:r>
    </w:p>
    <w:p w:rsidR="007562B2" w:rsidRDefault="007562B2">
      <w:pPr>
        <w:rPr>
          <w:szCs w:val="28"/>
        </w:rPr>
      </w:pPr>
      <w:r>
        <w:rPr>
          <w:szCs w:val="28"/>
        </w:rPr>
        <w:t>5. Непомнящий Е.Г. Экономика и управление предприятием: Конспект лекций. -  Таганрог: Изд-во ТРТУ. 1997.</w:t>
      </w:r>
    </w:p>
    <w:p w:rsidR="007562B2" w:rsidRDefault="007562B2">
      <w:pPr>
        <w:rPr>
          <w:szCs w:val="28"/>
        </w:rPr>
      </w:pPr>
      <w:r>
        <w:rPr>
          <w:szCs w:val="28"/>
        </w:rPr>
        <w:t>6. Непомнящий Е.Г. Методические указания по выполнению курсового проекта на тему “Технико-экономическое обоснование предпринимательского проекта”. - Т</w:t>
      </w:r>
      <w:r>
        <w:rPr>
          <w:szCs w:val="28"/>
        </w:rPr>
        <w:t>а</w:t>
      </w:r>
      <w:r>
        <w:rPr>
          <w:szCs w:val="28"/>
        </w:rPr>
        <w:t>ганрог: Изд-во ТРТУ, 1998.</w:t>
      </w:r>
    </w:p>
    <w:p w:rsidR="007562B2" w:rsidRDefault="007562B2">
      <w:pPr>
        <w:rPr>
          <w:szCs w:val="28"/>
        </w:rPr>
      </w:pPr>
      <w:r>
        <w:rPr>
          <w:szCs w:val="28"/>
        </w:rPr>
        <w:t>7. Непомнящий Е.Г. Инвестиционное проектирование: Учебное пособие. Тага</w:t>
      </w:r>
      <w:r>
        <w:rPr>
          <w:szCs w:val="28"/>
        </w:rPr>
        <w:t>н</w:t>
      </w:r>
      <w:r>
        <w:rPr>
          <w:szCs w:val="28"/>
        </w:rPr>
        <w:t>рог: Изд-во ТРТУ. 2003.</w:t>
      </w:r>
    </w:p>
    <w:p w:rsidR="007562B2" w:rsidRDefault="007562B2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8. </w:t>
      </w:r>
      <w:r>
        <w:rPr>
          <w:szCs w:val="28"/>
        </w:rPr>
        <w:t>Тычинский А.В. Дипломный проект на тему «</w:t>
      </w:r>
      <w:r>
        <w:rPr>
          <w:rFonts w:ascii="Times New Roman CYR" w:hAnsi="Times New Roman CYR"/>
          <w:szCs w:val="28"/>
        </w:rPr>
        <w:t>Устройство корреляц</w:t>
      </w:r>
      <w:r>
        <w:rPr>
          <w:rFonts w:ascii="Times New Roman CYR" w:hAnsi="Times New Roman CYR"/>
          <w:szCs w:val="28"/>
        </w:rPr>
        <w:t>и</w:t>
      </w:r>
      <w:r>
        <w:rPr>
          <w:rFonts w:ascii="Times New Roman CYR" w:hAnsi="Times New Roman CYR"/>
          <w:szCs w:val="28"/>
        </w:rPr>
        <w:t>онной обработки сигналов на поверхностных акустических волнах», руковод</w:t>
      </w:r>
      <w:r>
        <w:rPr>
          <w:rFonts w:ascii="Times New Roman CYR" w:hAnsi="Times New Roman CYR"/>
          <w:szCs w:val="28"/>
        </w:rPr>
        <w:t>и</w:t>
      </w:r>
      <w:r>
        <w:rPr>
          <w:rFonts w:ascii="Times New Roman CYR" w:hAnsi="Times New Roman CYR"/>
          <w:szCs w:val="28"/>
        </w:rPr>
        <w:t>тель проекта Н.П. З</w:t>
      </w:r>
      <w:r>
        <w:rPr>
          <w:rFonts w:ascii="Times New Roman CYR" w:hAnsi="Times New Roman CYR"/>
          <w:szCs w:val="28"/>
        </w:rPr>
        <w:t>а</w:t>
      </w:r>
      <w:r>
        <w:rPr>
          <w:rFonts w:ascii="Times New Roman CYR" w:hAnsi="Times New Roman CYR"/>
          <w:szCs w:val="28"/>
        </w:rPr>
        <w:t>грай. – Таганрог: ТРТУ. 1997.</w:t>
      </w:r>
    </w:p>
    <w:p w:rsidR="007562B2" w:rsidRDefault="007562B2">
      <w:pPr>
        <w:tabs>
          <w:tab w:val="left" w:pos="-2340"/>
        </w:tabs>
        <w:ind w:firstLine="0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szCs w:val="28"/>
        </w:rPr>
        <w:br w:type="page"/>
      </w:r>
      <w:r>
        <w:rPr>
          <w:rFonts w:ascii="Times New Roman CYR" w:hAnsi="Times New Roman CYR"/>
          <w:b/>
          <w:sz w:val="32"/>
          <w:szCs w:val="32"/>
        </w:rPr>
        <w:lastRenderedPageBreak/>
        <w:t>СОДЕРЖАНИЕ</w:t>
      </w:r>
    </w:p>
    <w:p w:rsidR="007562B2" w:rsidRDefault="007562B2">
      <w:pPr>
        <w:tabs>
          <w:tab w:val="left" w:pos="-2340"/>
        </w:tabs>
        <w:rPr>
          <w:rFonts w:ascii="Times New Roman CYR" w:hAnsi="Times New Roman CYR"/>
          <w:b/>
          <w:sz w:val="32"/>
          <w:szCs w:val="32"/>
        </w:rPr>
      </w:pPr>
    </w:p>
    <w:p w:rsidR="007562B2" w:rsidRDefault="007562B2">
      <w:pPr>
        <w:pStyle w:val="10"/>
        <w:tabs>
          <w:tab w:val="right" w:leader="dot" w:pos="9628"/>
        </w:tabs>
        <w:ind w:firstLine="0"/>
        <w:rPr>
          <w:noProof/>
          <w:sz w:val="24"/>
          <w:szCs w:val="24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TOC \o "1-3" \h \z \u </w:instrText>
      </w:r>
      <w:r>
        <w:rPr>
          <w:sz w:val="32"/>
        </w:rPr>
        <w:fldChar w:fldCharType="separate"/>
      </w:r>
      <w:hyperlink w:anchor="_Toc99193581" w:history="1">
        <w:r>
          <w:rPr>
            <w:rStyle w:val="a5"/>
            <w:noProof/>
            <w:szCs w:val="28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10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82" w:history="1">
        <w:r>
          <w:rPr>
            <w:rStyle w:val="a5"/>
            <w:noProof/>
            <w:szCs w:val="28"/>
          </w:rPr>
          <w:t>1. Маркетинговый подход как метод экономического обоснования инженерных разработок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10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83" w:history="1">
        <w:r>
          <w:rPr>
            <w:rStyle w:val="a5"/>
            <w:noProof/>
            <w:szCs w:val="28"/>
          </w:rPr>
          <w:t>2. Принимаемые условности и допущения, цель, задачи и структура раздела ТЭО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10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84" w:history="1">
        <w:r>
          <w:rPr>
            <w:rStyle w:val="a5"/>
            <w:noProof/>
            <w:szCs w:val="28"/>
          </w:rPr>
          <w:t>3. Пояснения к содержанию раздела ТЭО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85" w:history="1">
        <w:r>
          <w:rPr>
            <w:rStyle w:val="a5"/>
            <w:noProof/>
            <w:szCs w:val="28"/>
          </w:rPr>
          <w:t>3.1. Обоснование необходимости и актуальности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86" w:history="1">
        <w:r>
          <w:rPr>
            <w:rStyle w:val="a5"/>
            <w:noProof/>
            <w:szCs w:val="28"/>
          </w:rPr>
          <w:t>3.2. Обоснование выбора аналога для сравнения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87" w:history="1">
        <w:r>
          <w:rPr>
            <w:rStyle w:val="a5"/>
            <w:noProof/>
            <w:szCs w:val="28"/>
          </w:rPr>
          <w:t>3.3. Обоснование выбора критериев для сравнения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88" w:history="1">
        <w:r>
          <w:rPr>
            <w:rStyle w:val="a5"/>
            <w:noProof/>
            <w:szCs w:val="28"/>
          </w:rPr>
          <w:t>3.4. Стоимостная оценка аналога 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89" w:history="1">
        <w:r>
          <w:rPr>
            <w:rStyle w:val="a5"/>
            <w:noProof/>
            <w:szCs w:val="28"/>
          </w:rPr>
          <w:t>3.5. Расчет сравнительной технико-экономической эффективности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0" w:history="1">
        <w:r>
          <w:rPr>
            <w:rStyle w:val="a5"/>
            <w:noProof/>
            <w:szCs w:val="28"/>
          </w:rPr>
          <w:t>3.6. 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10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1" w:history="1">
        <w:r>
          <w:rPr>
            <w:rStyle w:val="a5"/>
            <w:noProof/>
            <w:szCs w:val="28"/>
          </w:rPr>
          <w:t>4. Пример ТЭО дипломного проекта «</w:t>
        </w:r>
        <w:r>
          <w:rPr>
            <w:rStyle w:val="a5"/>
            <w:rFonts w:ascii="Times New Roman CYR" w:hAnsi="Times New Roman CYR"/>
            <w:noProof/>
            <w:szCs w:val="28"/>
          </w:rPr>
          <w:t>Устройство корреляционной обработки сигналов на поверхностных акустических волнах</w:t>
        </w:r>
        <w:r>
          <w:rPr>
            <w:rStyle w:val="a5"/>
            <w:noProof/>
            <w:szCs w:val="28"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2" w:history="1">
        <w:r>
          <w:rPr>
            <w:rStyle w:val="a5"/>
            <w:noProof/>
            <w:szCs w:val="28"/>
          </w:rPr>
          <w:t>4.1. Обоснование необходимости и актуальности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3" w:history="1">
        <w:r>
          <w:rPr>
            <w:rStyle w:val="a5"/>
            <w:noProof/>
            <w:szCs w:val="28"/>
          </w:rPr>
          <w:t>4.2. Технические характеристики разрабатываемого устройства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4" w:history="1">
        <w:r>
          <w:rPr>
            <w:rStyle w:val="a5"/>
            <w:noProof/>
            <w:szCs w:val="28"/>
          </w:rPr>
          <w:t>4.3. Обоснование выбора аналога для сравнения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5" w:history="1">
        <w:r>
          <w:rPr>
            <w:rStyle w:val="a5"/>
            <w:noProof/>
            <w:szCs w:val="28"/>
          </w:rPr>
          <w:t>4.4. Обоснование выбора критериев сравнения разрабатываемого устройства с аналогом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6" w:history="1">
        <w:r>
          <w:rPr>
            <w:rStyle w:val="a5"/>
            <w:noProof/>
            <w:szCs w:val="28"/>
          </w:rPr>
          <w:t>4.5. Стоимостная оценка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7" w:history="1">
        <w:r>
          <w:rPr>
            <w:rStyle w:val="a5"/>
            <w:noProof/>
            <w:szCs w:val="28"/>
          </w:rPr>
          <w:t>4.6. Расчет технико-экономических показателей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8" w:history="1">
        <w:r>
          <w:rPr>
            <w:rStyle w:val="a5"/>
            <w:noProof/>
            <w:szCs w:val="28"/>
          </w:rPr>
          <w:t>4.7. Продвижение разработки и организация производства предлагаемого устройства на предприятии-изготовителе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21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599" w:history="1">
        <w:r>
          <w:rPr>
            <w:rStyle w:val="a5"/>
            <w:noProof/>
            <w:szCs w:val="28"/>
          </w:rPr>
          <w:t>4.8. 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_Toc99193599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pStyle w:val="10"/>
        <w:tabs>
          <w:tab w:val="right" w:leader="dot" w:pos="9628"/>
        </w:tabs>
        <w:ind w:firstLine="0"/>
        <w:rPr>
          <w:noProof/>
          <w:sz w:val="24"/>
          <w:szCs w:val="24"/>
        </w:rPr>
      </w:pPr>
      <w:hyperlink w:anchor="_Toc99193600" w:history="1">
        <w:r>
          <w:rPr>
            <w:rStyle w:val="a5"/>
            <w:noProof/>
            <w:szCs w:val="28"/>
          </w:rPr>
          <w:t>Библиографический список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_Toc99193600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562B2" w:rsidRDefault="007562B2">
      <w:pPr>
        <w:ind w:firstLine="0"/>
        <w:rPr>
          <w:sz w:val="32"/>
        </w:rPr>
      </w:pPr>
      <w:r>
        <w:rPr>
          <w:sz w:val="32"/>
        </w:rPr>
        <w:fldChar w:fldCharType="end"/>
      </w:r>
    </w:p>
    <w:p w:rsidR="007562B2" w:rsidRDefault="007562B2">
      <w:pPr>
        <w:jc w:val="center"/>
        <w:rPr>
          <w:b/>
          <w:bCs/>
        </w:rPr>
        <w:sectPr w:rsidR="007562B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62B2" w:rsidRDefault="007562B2">
      <w:pPr>
        <w:pStyle w:val="1"/>
        <w:autoSpaceDE w:val="0"/>
        <w:autoSpaceDN w:val="0"/>
        <w:rPr>
          <w:bCs/>
          <w:caps w:val="0"/>
        </w:rPr>
      </w:pPr>
      <w:r>
        <w:rPr>
          <w:bCs/>
          <w:caps w:val="0"/>
        </w:rPr>
        <w:lastRenderedPageBreak/>
        <w:t>Тычинский Александр Владимирович</w:t>
      </w:r>
    </w:p>
    <w:p w:rsidR="007562B2" w:rsidRDefault="007562B2"/>
    <w:p w:rsidR="007562B2" w:rsidRDefault="007562B2"/>
    <w:p w:rsidR="007562B2" w:rsidRDefault="007562B2"/>
    <w:p w:rsidR="007562B2" w:rsidRDefault="007562B2"/>
    <w:p w:rsidR="007562B2" w:rsidRDefault="007562B2">
      <w:pPr>
        <w:widowControl/>
        <w:spacing w:line="431" w:lineRule="atLeast"/>
        <w:ind w:firstLine="0"/>
        <w:jc w:val="center"/>
        <w:rPr>
          <w:b/>
          <w:bCs/>
          <w:caps/>
          <w:color w:val="000000"/>
          <w:sz w:val="36"/>
          <w:szCs w:val="36"/>
          <w:lang w:val="x-none"/>
        </w:rPr>
      </w:pPr>
      <w:r>
        <w:rPr>
          <w:b/>
          <w:bCs/>
          <w:caps/>
          <w:color w:val="000000"/>
          <w:sz w:val="36"/>
          <w:szCs w:val="36"/>
          <w:lang w:val="x-none"/>
        </w:rPr>
        <w:t>Методические указания</w:t>
      </w:r>
    </w:p>
    <w:p w:rsidR="007562B2" w:rsidRDefault="007562B2"/>
    <w:p w:rsidR="007562B2" w:rsidRDefault="007562B2"/>
    <w:p w:rsidR="007562B2" w:rsidRDefault="007562B2">
      <w:pPr>
        <w:widowControl/>
        <w:spacing w:line="335" w:lineRule="atLeast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x-none"/>
        </w:rPr>
        <w:t>по выполнению технико-экономического обоснования</w:t>
      </w:r>
    </w:p>
    <w:p w:rsidR="007562B2" w:rsidRDefault="007562B2">
      <w:pPr>
        <w:widowControl/>
        <w:spacing w:line="335" w:lineRule="atLeast"/>
        <w:ind w:firstLine="0"/>
        <w:jc w:val="center"/>
        <w:rPr>
          <w:b/>
          <w:bCs/>
          <w:color w:val="000000"/>
          <w:szCs w:val="28"/>
          <w:lang w:val="x-none"/>
        </w:rPr>
      </w:pPr>
      <w:r>
        <w:rPr>
          <w:b/>
          <w:bCs/>
          <w:color w:val="000000"/>
          <w:szCs w:val="28"/>
          <w:lang w:val="x-none"/>
        </w:rPr>
        <w:t>квалификационных работ</w:t>
      </w:r>
    </w:p>
    <w:p w:rsidR="007562B2" w:rsidRDefault="007562B2">
      <w:pPr>
        <w:widowControl/>
        <w:spacing w:line="431" w:lineRule="atLeast"/>
        <w:ind w:firstLine="0"/>
        <w:jc w:val="center"/>
        <w:rPr>
          <w:b/>
          <w:bCs/>
          <w:color w:val="000000"/>
          <w:sz w:val="36"/>
          <w:szCs w:val="36"/>
        </w:rPr>
      </w:pPr>
    </w:p>
    <w:p w:rsidR="007562B2" w:rsidRDefault="007562B2">
      <w:pPr>
        <w:widowControl/>
        <w:spacing w:line="431" w:lineRule="atLeast"/>
        <w:ind w:firstLine="0"/>
        <w:jc w:val="center"/>
        <w:rPr>
          <w:b/>
          <w:bCs/>
          <w:color w:val="000000"/>
          <w:sz w:val="36"/>
          <w:szCs w:val="36"/>
          <w:lang w:val="x-none"/>
        </w:rPr>
      </w:pPr>
      <w:r>
        <w:rPr>
          <w:b/>
          <w:bCs/>
          <w:color w:val="000000"/>
          <w:sz w:val="36"/>
          <w:szCs w:val="36"/>
          <w:lang w:val="x-none"/>
        </w:rPr>
        <w:t>Маркетинговый подход</w:t>
      </w:r>
    </w:p>
    <w:p w:rsidR="007562B2" w:rsidRDefault="007562B2"/>
    <w:p w:rsidR="007562B2" w:rsidRDefault="007562B2"/>
    <w:p w:rsidR="007562B2" w:rsidRDefault="007562B2"/>
    <w:p w:rsidR="007562B2" w:rsidRDefault="007562B2">
      <w:pPr>
        <w:widowControl/>
        <w:spacing w:line="287" w:lineRule="atLeast"/>
        <w:ind w:firstLine="0"/>
        <w:jc w:val="center"/>
        <w:rPr>
          <w:b/>
          <w:bCs/>
          <w:color w:val="000000"/>
          <w:sz w:val="24"/>
          <w:szCs w:val="24"/>
          <w:lang w:val="x-none"/>
        </w:rPr>
      </w:pPr>
      <w:r>
        <w:rPr>
          <w:b/>
          <w:bCs/>
          <w:color w:val="000000"/>
          <w:sz w:val="24"/>
          <w:szCs w:val="24"/>
          <w:lang w:val="x-none"/>
        </w:rPr>
        <w:t>Для студентов инженерных специальностей</w:t>
      </w:r>
    </w:p>
    <w:p w:rsidR="007562B2" w:rsidRDefault="007562B2">
      <w:pPr>
        <w:widowControl/>
        <w:spacing w:line="287" w:lineRule="atLeast"/>
        <w:ind w:firstLine="0"/>
        <w:jc w:val="center"/>
        <w:rPr>
          <w:b/>
          <w:bCs/>
          <w:color w:val="000000"/>
          <w:sz w:val="24"/>
          <w:szCs w:val="24"/>
          <w:lang w:val="x-none"/>
        </w:rPr>
      </w:pPr>
      <w:r>
        <w:rPr>
          <w:b/>
          <w:bCs/>
          <w:color w:val="000000"/>
          <w:sz w:val="24"/>
          <w:szCs w:val="24"/>
          <w:lang w:val="x-none"/>
        </w:rPr>
        <w:t>всех форм обучения</w:t>
      </w:r>
    </w:p>
    <w:p w:rsidR="007562B2" w:rsidRDefault="007562B2"/>
    <w:p w:rsidR="007562B2" w:rsidRDefault="007562B2"/>
    <w:p w:rsidR="007562B2" w:rsidRDefault="007562B2">
      <w:pPr>
        <w:pStyle w:val="10"/>
      </w:pPr>
    </w:p>
    <w:p w:rsidR="007562B2" w:rsidRDefault="007562B2"/>
    <w:p w:rsidR="007562B2" w:rsidRDefault="007562B2"/>
    <w:p w:rsidR="007562B2" w:rsidRDefault="007562B2">
      <w:r>
        <w:t xml:space="preserve">Ответственный за выпуск </w:t>
      </w:r>
      <w:r>
        <w:rPr>
          <w:b/>
          <w:bCs/>
          <w:i/>
          <w:iCs/>
        </w:rPr>
        <w:t>Тычинский А.В</w:t>
      </w:r>
    </w:p>
    <w:p w:rsidR="007562B2" w:rsidRDefault="007562B2">
      <w:r>
        <w:t xml:space="preserve">Редактор       </w:t>
      </w:r>
      <w:r>
        <w:rPr>
          <w:b/>
          <w:bCs/>
          <w:i/>
          <w:iCs/>
        </w:rPr>
        <w:t>Лунева Н. И.</w:t>
      </w:r>
    </w:p>
    <w:p w:rsidR="007562B2" w:rsidRDefault="007562B2">
      <w:r>
        <w:t xml:space="preserve">Корректор </w:t>
      </w:r>
    </w:p>
    <w:p w:rsidR="007562B2" w:rsidRDefault="007562B2">
      <w:r>
        <w:t xml:space="preserve">Компьютерная верстка </w:t>
      </w:r>
      <w:r>
        <w:rPr>
          <w:b/>
          <w:bCs/>
          <w:i/>
          <w:iCs/>
        </w:rPr>
        <w:t>Гусейнов Г.М.</w:t>
      </w:r>
    </w:p>
    <w:p w:rsidR="007562B2" w:rsidRDefault="007562B2"/>
    <w:p w:rsidR="007562B2" w:rsidRDefault="007562B2"/>
    <w:p w:rsidR="007562B2" w:rsidRDefault="007562B2"/>
    <w:p w:rsidR="007562B2" w:rsidRDefault="007562B2">
      <w:pPr>
        <w:ind w:firstLine="454"/>
        <w:rPr>
          <w:szCs w:val="28"/>
        </w:rPr>
      </w:pPr>
    </w:p>
    <w:p w:rsidR="007562B2" w:rsidRDefault="007562B2">
      <w:pPr>
        <w:jc w:val="center"/>
        <w:rPr>
          <w:szCs w:val="28"/>
        </w:rPr>
      </w:pPr>
      <w:r>
        <w:rPr>
          <w:szCs w:val="28"/>
        </w:rPr>
        <w:t xml:space="preserve">ЛР № 020565 от 23 июня 1997г.    Подписано к печати  </w:t>
      </w:r>
    </w:p>
    <w:p w:rsidR="007562B2" w:rsidRDefault="007562B2">
      <w:pPr>
        <w:jc w:val="center"/>
        <w:rPr>
          <w:szCs w:val="28"/>
        </w:rPr>
      </w:pPr>
      <w:r>
        <w:rPr>
          <w:szCs w:val="28"/>
        </w:rPr>
        <w:t>Формат 60х841/16.                           Бумага офсетная</w:t>
      </w:r>
    </w:p>
    <w:p w:rsidR="007562B2" w:rsidRDefault="007562B2">
      <w:pPr>
        <w:jc w:val="center"/>
        <w:rPr>
          <w:szCs w:val="28"/>
        </w:rPr>
      </w:pPr>
      <w:r>
        <w:rPr>
          <w:szCs w:val="28"/>
        </w:rPr>
        <w:t>Печать офсетная.      Усл.-п.л.-2,0     Уч.-изд.- 1,8</w:t>
      </w:r>
    </w:p>
    <w:p w:rsidR="007562B2" w:rsidRDefault="007562B2">
      <w:pPr>
        <w:jc w:val="center"/>
        <w:rPr>
          <w:szCs w:val="28"/>
        </w:rPr>
      </w:pPr>
      <w:r>
        <w:rPr>
          <w:szCs w:val="28"/>
        </w:rPr>
        <w:t>Заказ №                                    Тираж 500 экз.</w:t>
      </w:r>
    </w:p>
    <w:p w:rsidR="007562B2" w:rsidRDefault="007562B2">
      <w:pPr>
        <w:jc w:val="center"/>
        <w:rPr>
          <w:szCs w:val="28"/>
        </w:rPr>
      </w:pPr>
      <w:r>
        <w:rPr>
          <w:szCs w:val="28"/>
        </w:rPr>
        <w:t>&lt;&lt; C &gt;&gt;</w:t>
      </w:r>
    </w:p>
    <w:p w:rsidR="007562B2" w:rsidRDefault="007562B2">
      <w:pPr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7562B2" w:rsidRDefault="007562B2">
      <w:pPr>
        <w:jc w:val="center"/>
        <w:rPr>
          <w:szCs w:val="28"/>
        </w:rPr>
      </w:pPr>
      <w:r>
        <w:rPr>
          <w:szCs w:val="28"/>
        </w:rPr>
        <w:t>Издательство Таганрогского государственного</w:t>
      </w:r>
    </w:p>
    <w:p w:rsidR="007562B2" w:rsidRDefault="007562B2">
      <w:pPr>
        <w:jc w:val="center"/>
        <w:rPr>
          <w:szCs w:val="28"/>
        </w:rPr>
      </w:pPr>
      <w:r>
        <w:rPr>
          <w:szCs w:val="28"/>
        </w:rPr>
        <w:t>радиотехнического университета.</w:t>
      </w:r>
    </w:p>
    <w:p w:rsidR="007562B2" w:rsidRDefault="007562B2">
      <w:pPr>
        <w:jc w:val="center"/>
        <w:rPr>
          <w:szCs w:val="28"/>
        </w:rPr>
      </w:pPr>
      <w:r>
        <w:rPr>
          <w:szCs w:val="28"/>
        </w:rPr>
        <w:t>ГСП 17А, Таганрог, 28, Некрасовский, 44</w:t>
      </w:r>
    </w:p>
    <w:p w:rsidR="007562B2" w:rsidRDefault="007562B2">
      <w:pPr>
        <w:ind w:firstLine="0"/>
        <w:jc w:val="center"/>
        <w:rPr>
          <w:szCs w:val="28"/>
        </w:rPr>
      </w:pPr>
      <w:r>
        <w:rPr>
          <w:szCs w:val="28"/>
        </w:rPr>
        <w:t>Типография Таганрогского государственного</w:t>
      </w:r>
    </w:p>
    <w:p w:rsidR="007562B2" w:rsidRDefault="007562B2">
      <w:pPr>
        <w:ind w:firstLine="0"/>
        <w:jc w:val="center"/>
        <w:rPr>
          <w:szCs w:val="28"/>
        </w:rPr>
      </w:pPr>
      <w:r>
        <w:rPr>
          <w:szCs w:val="28"/>
        </w:rPr>
        <w:t>радиотехнического универс</w:t>
      </w:r>
      <w:r>
        <w:rPr>
          <w:szCs w:val="28"/>
        </w:rPr>
        <w:t>и</w:t>
      </w:r>
      <w:r>
        <w:rPr>
          <w:szCs w:val="28"/>
        </w:rPr>
        <w:t>тета</w:t>
      </w:r>
    </w:p>
    <w:p w:rsidR="007562B2" w:rsidRDefault="007562B2">
      <w:pPr>
        <w:jc w:val="center"/>
      </w:pPr>
      <w:r>
        <w:rPr>
          <w:szCs w:val="28"/>
        </w:rPr>
        <w:t>ГСП 17А, Таганрог, 28, Энгельса, 1</w:t>
      </w:r>
    </w:p>
    <w:p w:rsidR="007562B2" w:rsidRDefault="007562B2">
      <w:pPr>
        <w:jc w:val="center"/>
      </w:pPr>
    </w:p>
    <w:sectPr w:rsidR="007562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B2" w:rsidRDefault="007562B2">
      <w:r>
        <w:separator/>
      </w:r>
    </w:p>
  </w:endnote>
  <w:endnote w:type="continuationSeparator" w:id="0">
    <w:p w:rsidR="007562B2" w:rsidRDefault="007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B2" w:rsidRDefault="007562B2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8680E">
      <w:rPr>
        <w:noProof/>
      </w:rPr>
      <w:t>3</w:t>
    </w:r>
    <w:r>
      <w:fldChar w:fldCharType="end"/>
    </w:r>
  </w:p>
  <w:p w:rsidR="007562B2" w:rsidRDefault="007562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B2" w:rsidRDefault="007562B2">
      <w:r>
        <w:separator/>
      </w:r>
    </w:p>
  </w:footnote>
  <w:footnote w:type="continuationSeparator" w:id="0">
    <w:p w:rsidR="007562B2" w:rsidRDefault="0075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B87"/>
    <w:multiLevelType w:val="hybridMultilevel"/>
    <w:tmpl w:val="1D0CAD9A"/>
    <w:lvl w:ilvl="0" w:tplc="C762707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5B73E9"/>
    <w:multiLevelType w:val="multilevel"/>
    <w:tmpl w:val="ECECD47A"/>
    <w:lvl w:ilvl="0"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4376A02"/>
    <w:multiLevelType w:val="hybridMultilevel"/>
    <w:tmpl w:val="A8BCA5C6"/>
    <w:lvl w:ilvl="0" w:tplc="91945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377CE5"/>
    <w:multiLevelType w:val="hybridMultilevel"/>
    <w:tmpl w:val="5BB47F3A"/>
    <w:lvl w:ilvl="0" w:tplc="AAF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7CD9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4F53D8"/>
    <w:multiLevelType w:val="singleLevel"/>
    <w:tmpl w:val="BED20FDA"/>
    <w:lvl w:ilvl="0">
      <w:numFmt w:val="decimal"/>
      <w:lvlText w:val="%1"/>
      <w:legacy w:legacy="1" w:legacySpace="0" w:legacyIndent="0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6"/>
    <w:rsid w:val="003845B6"/>
    <w:rsid w:val="007562B2"/>
    <w:rsid w:val="00D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1">
    <w:name w:val="heading 1"/>
    <w:basedOn w:val="a"/>
    <w:qFormat/>
    <w:pPr>
      <w:autoSpaceDE/>
      <w:autoSpaceDN/>
      <w:ind w:firstLine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autoSpaceDE/>
      <w:autoSpaceDN/>
      <w:spacing w:after="120"/>
      <w:outlineLvl w:val="1"/>
    </w:pPr>
    <w:rPr>
      <w:rFonts w:cs="Arial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709"/>
      </w:tabs>
      <w:ind w:firstLine="454"/>
      <w:jc w:val="center"/>
      <w:outlineLvl w:val="4"/>
    </w:pPr>
    <w:rPr>
      <w:rFonts w:ascii="Times New Roman CYR" w:hAnsi="Times New Roman CYR"/>
      <w:b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09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-2628"/>
      </w:tabs>
      <w:ind w:firstLine="0"/>
      <w:outlineLvl w:val="7"/>
    </w:pPr>
    <w:rPr>
      <w:rFonts w:ascii="Times New Roman CYR" w:hAnsi="Times New Roman CYR"/>
      <w:b/>
      <w:i/>
      <w:sz w:val="24"/>
    </w:rPr>
  </w:style>
  <w:style w:type="paragraph" w:styleId="9">
    <w:name w:val="heading 9"/>
    <w:basedOn w:val="a"/>
    <w:next w:val="a"/>
    <w:qFormat/>
    <w:pPr>
      <w:keepNext/>
      <w:ind w:firstLine="0"/>
      <w:outlineLvl w:val="8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2340"/>
      </w:tabs>
      <w:ind w:firstLine="0"/>
      <w:jc w:val="center"/>
    </w:pPr>
    <w:rPr>
      <w:rFonts w:ascii="Times New Roman CYR" w:hAnsi="Times New Roman CYR"/>
    </w:rPr>
  </w:style>
  <w:style w:type="paragraph" w:styleId="a4">
    <w:name w:val="Body Text Indent"/>
    <w:basedOn w:val="a"/>
    <w:pPr>
      <w:tabs>
        <w:tab w:val="left" w:pos="-2340"/>
      </w:tabs>
    </w:pPr>
    <w:rPr>
      <w:rFonts w:ascii="Times New Roman CYR" w:hAnsi="Times New Roman CYR"/>
    </w:rPr>
  </w:style>
  <w:style w:type="paragraph" w:styleId="20">
    <w:name w:val="Body Text Indent 2"/>
    <w:basedOn w:val="a"/>
    <w:pPr>
      <w:tabs>
        <w:tab w:val="left" w:pos="-2340"/>
      </w:tabs>
      <w:jc w:val="center"/>
    </w:pPr>
    <w:rPr>
      <w:rFonts w:ascii="Times New Roman CYR" w:hAnsi="Times New Roman CYR"/>
      <w:bCs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widowControl/>
      <w:autoSpaceDE/>
      <w:autoSpaceDN/>
      <w:adjustRightInd/>
      <w:ind w:left="480" w:firstLine="0"/>
      <w:jc w:val="left"/>
    </w:pPr>
    <w:rPr>
      <w:sz w:val="24"/>
      <w:szCs w:val="24"/>
    </w:rPr>
  </w:style>
  <w:style w:type="paragraph" w:styleId="40">
    <w:name w:val="toc 4"/>
    <w:basedOn w:val="a"/>
    <w:next w:val="a"/>
    <w:autoRedefine/>
    <w:semiHidden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styleId="50">
    <w:name w:val="toc 5"/>
    <w:basedOn w:val="a"/>
    <w:next w:val="a"/>
    <w:autoRedefine/>
    <w:semiHidden/>
    <w:pPr>
      <w:widowControl/>
      <w:autoSpaceDE/>
      <w:autoSpaceDN/>
      <w:adjustRightInd/>
      <w:ind w:left="960" w:firstLine="0"/>
      <w:jc w:val="left"/>
    </w:pPr>
    <w:rPr>
      <w:sz w:val="24"/>
      <w:szCs w:val="24"/>
    </w:rPr>
  </w:style>
  <w:style w:type="paragraph" w:styleId="60">
    <w:name w:val="toc 6"/>
    <w:basedOn w:val="a"/>
    <w:next w:val="a"/>
    <w:autoRedefine/>
    <w:semiHidden/>
    <w:pPr>
      <w:widowControl/>
      <w:autoSpaceDE/>
      <w:autoSpaceDN/>
      <w:adjustRightInd/>
      <w:ind w:left="1200" w:firstLine="0"/>
      <w:jc w:val="left"/>
    </w:pPr>
    <w:rPr>
      <w:sz w:val="24"/>
      <w:szCs w:val="24"/>
    </w:rPr>
  </w:style>
  <w:style w:type="paragraph" w:styleId="70">
    <w:name w:val="toc 7"/>
    <w:basedOn w:val="a"/>
    <w:next w:val="a"/>
    <w:autoRedefine/>
    <w:semiHidden/>
    <w:pPr>
      <w:widowControl/>
      <w:autoSpaceDE/>
      <w:autoSpaceDN/>
      <w:adjustRightInd/>
      <w:ind w:left="1440" w:firstLine="0"/>
      <w:jc w:val="left"/>
    </w:pPr>
    <w:rPr>
      <w:sz w:val="24"/>
      <w:szCs w:val="24"/>
    </w:rPr>
  </w:style>
  <w:style w:type="paragraph" w:styleId="80">
    <w:name w:val="toc 8"/>
    <w:basedOn w:val="a"/>
    <w:next w:val="a"/>
    <w:autoRedefine/>
    <w:semiHidden/>
    <w:pPr>
      <w:widowControl/>
      <w:autoSpaceDE/>
      <w:autoSpaceDN/>
      <w:adjustRightInd/>
      <w:ind w:left="1680" w:firstLine="0"/>
      <w:jc w:val="left"/>
    </w:pPr>
    <w:rPr>
      <w:sz w:val="24"/>
      <w:szCs w:val="24"/>
    </w:rPr>
  </w:style>
  <w:style w:type="paragraph" w:styleId="90">
    <w:name w:val="toc 9"/>
    <w:basedOn w:val="a"/>
    <w:next w:val="a"/>
    <w:autoRedefine/>
    <w:semiHidden/>
    <w:pPr>
      <w:widowControl/>
      <w:autoSpaceDE/>
      <w:autoSpaceDN/>
      <w:adjustRightInd/>
      <w:ind w:left="1920" w:firstLine="0"/>
      <w:jc w:val="left"/>
    </w:pPr>
    <w:rPr>
      <w:sz w:val="24"/>
      <w:szCs w:val="24"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1">
    <w:name w:val="heading 1"/>
    <w:basedOn w:val="a"/>
    <w:qFormat/>
    <w:pPr>
      <w:autoSpaceDE/>
      <w:autoSpaceDN/>
      <w:ind w:firstLine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autoSpaceDE/>
      <w:autoSpaceDN/>
      <w:spacing w:after="120"/>
      <w:outlineLvl w:val="1"/>
    </w:pPr>
    <w:rPr>
      <w:rFonts w:cs="Arial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709"/>
      </w:tabs>
      <w:ind w:firstLine="454"/>
      <w:jc w:val="center"/>
      <w:outlineLvl w:val="4"/>
    </w:pPr>
    <w:rPr>
      <w:rFonts w:ascii="Times New Roman CYR" w:hAnsi="Times New Roman CYR"/>
      <w:b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09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-2628"/>
      </w:tabs>
      <w:ind w:firstLine="0"/>
      <w:outlineLvl w:val="7"/>
    </w:pPr>
    <w:rPr>
      <w:rFonts w:ascii="Times New Roman CYR" w:hAnsi="Times New Roman CYR"/>
      <w:b/>
      <w:i/>
      <w:sz w:val="24"/>
    </w:rPr>
  </w:style>
  <w:style w:type="paragraph" w:styleId="9">
    <w:name w:val="heading 9"/>
    <w:basedOn w:val="a"/>
    <w:next w:val="a"/>
    <w:qFormat/>
    <w:pPr>
      <w:keepNext/>
      <w:ind w:firstLine="0"/>
      <w:outlineLvl w:val="8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2340"/>
      </w:tabs>
      <w:ind w:firstLine="0"/>
      <w:jc w:val="center"/>
    </w:pPr>
    <w:rPr>
      <w:rFonts w:ascii="Times New Roman CYR" w:hAnsi="Times New Roman CYR"/>
    </w:rPr>
  </w:style>
  <w:style w:type="paragraph" w:styleId="a4">
    <w:name w:val="Body Text Indent"/>
    <w:basedOn w:val="a"/>
    <w:pPr>
      <w:tabs>
        <w:tab w:val="left" w:pos="-2340"/>
      </w:tabs>
    </w:pPr>
    <w:rPr>
      <w:rFonts w:ascii="Times New Roman CYR" w:hAnsi="Times New Roman CYR"/>
    </w:rPr>
  </w:style>
  <w:style w:type="paragraph" w:styleId="20">
    <w:name w:val="Body Text Indent 2"/>
    <w:basedOn w:val="a"/>
    <w:pPr>
      <w:tabs>
        <w:tab w:val="left" w:pos="-2340"/>
      </w:tabs>
      <w:jc w:val="center"/>
    </w:pPr>
    <w:rPr>
      <w:rFonts w:ascii="Times New Roman CYR" w:hAnsi="Times New Roman CYR"/>
      <w:bCs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widowControl/>
      <w:autoSpaceDE/>
      <w:autoSpaceDN/>
      <w:adjustRightInd/>
      <w:ind w:left="480" w:firstLine="0"/>
      <w:jc w:val="left"/>
    </w:pPr>
    <w:rPr>
      <w:sz w:val="24"/>
      <w:szCs w:val="24"/>
    </w:rPr>
  </w:style>
  <w:style w:type="paragraph" w:styleId="40">
    <w:name w:val="toc 4"/>
    <w:basedOn w:val="a"/>
    <w:next w:val="a"/>
    <w:autoRedefine/>
    <w:semiHidden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styleId="50">
    <w:name w:val="toc 5"/>
    <w:basedOn w:val="a"/>
    <w:next w:val="a"/>
    <w:autoRedefine/>
    <w:semiHidden/>
    <w:pPr>
      <w:widowControl/>
      <w:autoSpaceDE/>
      <w:autoSpaceDN/>
      <w:adjustRightInd/>
      <w:ind w:left="960" w:firstLine="0"/>
      <w:jc w:val="left"/>
    </w:pPr>
    <w:rPr>
      <w:sz w:val="24"/>
      <w:szCs w:val="24"/>
    </w:rPr>
  </w:style>
  <w:style w:type="paragraph" w:styleId="60">
    <w:name w:val="toc 6"/>
    <w:basedOn w:val="a"/>
    <w:next w:val="a"/>
    <w:autoRedefine/>
    <w:semiHidden/>
    <w:pPr>
      <w:widowControl/>
      <w:autoSpaceDE/>
      <w:autoSpaceDN/>
      <w:adjustRightInd/>
      <w:ind w:left="1200" w:firstLine="0"/>
      <w:jc w:val="left"/>
    </w:pPr>
    <w:rPr>
      <w:sz w:val="24"/>
      <w:szCs w:val="24"/>
    </w:rPr>
  </w:style>
  <w:style w:type="paragraph" w:styleId="70">
    <w:name w:val="toc 7"/>
    <w:basedOn w:val="a"/>
    <w:next w:val="a"/>
    <w:autoRedefine/>
    <w:semiHidden/>
    <w:pPr>
      <w:widowControl/>
      <w:autoSpaceDE/>
      <w:autoSpaceDN/>
      <w:adjustRightInd/>
      <w:ind w:left="1440" w:firstLine="0"/>
      <w:jc w:val="left"/>
    </w:pPr>
    <w:rPr>
      <w:sz w:val="24"/>
      <w:szCs w:val="24"/>
    </w:rPr>
  </w:style>
  <w:style w:type="paragraph" w:styleId="80">
    <w:name w:val="toc 8"/>
    <w:basedOn w:val="a"/>
    <w:next w:val="a"/>
    <w:autoRedefine/>
    <w:semiHidden/>
    <w:pPr>
      <w:widowControl/>
      <w:autoSpaceDE/>
      <w:autoSpaceDN/>
      <w:adjustRightInd/>
      <w:ind w:left="1680" w:firstLine="0"/>
      <w:jc w:val="left"/>
    </w:pPr>
    <w:rPr>
      <w:sz w:val="24"/>
      <w:szCs w:val="24"/>
    </w:rPr>
  </w:style>
  <w:style w:type="paragraph" w:styleId="90">
    <w:name w:val="toc 9"/>
    <w:basedOn w:val="a"/>
    <w:next w:val="a"/>
    <w:autoRedefine/>
    <w:semiHidden/>
    <w:pPr>
      <w:widowControl/>
      <w:autoSpaceDE/>
      <w:autoSpaceDN/>
      <w:adjustRightInd/>
      <w:ind w:left="1920" w:firstLine="0"/>
      <w:jc w:val="left"/>
    </w:pPr>
    <w:rPr>
      <w:sz w:val="24"/>
      <w:szCs w:val="24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1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69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image" Target="media/image54.wmf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image" Target="media/image5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7.wmf"/><Relationship Id="rId137" Type="http://schemas.openxmlformats.org/officeDocument/2006/relationships/image" Target="media/image6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6.bin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8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10706</Words>
  <Characters>61028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основе предмета разработки в курсовом проекте по специальности (название, исполнитель, группа) произвести технико-экономический анализ разработки</vt:lpstr>
    </vt:vector>
  </TitlesOfParts>
  <Company>Tsure</Company>
  <LinksUpToDate>false</LinksUpToDate>
  <CharactersWithSpaces>71591</CharactersWithSpaces>
  <SharedDoc>false</SharedDoc>
  <HLinks>
    <vt:vector size="120" baseType="variant">
      <vt:variant>
        <vt:i4>1114171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_Toc99193600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_Toc99193599</vt:lpwstr>
      </vt:variant>
      <vt:variant>
        <vt:i4>1703986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_Toc99193598</vt:lpwstr>
      </vt:variant>
      <vt:variant>
        <vt:i4>1376306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_Toc99193597</vt:lpwstr>
      </vt:variant>
      <vt:variant>
        <vt:i4>1310770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_Toc99193596</vt:lpwstr>
      </vt:variant>
      <vt:variant>
        <vt:i4>1507378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_Toc99193595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_Toc99193594</vt:lpwstr>
      </vt:variant>
      <vt:variant>
        <vt:i4>1114162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_Toc99193593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_Toc99193592</vt:lpwstr>
      </vt:variant>
      <vt:variant>
        <vt:i4>1245234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_Toc99193591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_Toc99193590</vt:lpwstr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_Toc99193589</vt:lpwstr>
      </vt:variant>
      <vt:variant>
        <vt:i4>1703987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_Toc99193588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_Toc99193587</vt:lpwstr>
      </vt:variant>
      <vt:variant>
        <vt:i4>1310771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_Toc99193586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_Toc99193585</vt:lpwstr>
      </vt:variant>
      <vt:variant>
        <vt:i4>1441843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_Toc99193584</vt:lpwstr>
      </vt:variant>
      <vt:variant>
        <vt:i4>1114163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_Toc99193583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_Toc99193582</vt:lpwstr>
      </vt:variant>
      <vt:variant>
        <vt:i4>1245235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_Toc99193581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основе предмета разработки в курсовом проекте по специальности (название, исполнитель, группа) произвести технико-экономический анализ разработки</dc:title>
  <dc:creator>Секретарь</dc:creator>
  <cp:lastModifiedBy>Менеджер</cp:lastModifiedBy>
  <cp:revision>2</cp:revision>
  <cp:lastPrinted>2005-04-04T11:18:00Z</cp:lastPrinted>
  <dcterms:created xsi:type="dcterms:W3CDTF">2019-10-29T12:20:00Z</dcterms:created>
  <dcterms:modified xsi:type="dcterms:W3CDTF">2019-10-29T12:20:00Z</dcterms:modified>
</cp:coreProperties>
</file>